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AF" w:rsidRPr="004742FB" w:rsidRDefault="00FB00EE" w:rsidP="004E19E8">
      <w:pPr>
        <w:rPr>
          <w:b/>
          <w:noProof/>
          <w:sz w:val="24"/>
          <w:u w:val="single"/>
          <w:lang w:val="en-GB" w:eastAsia="en-GB"/>
        </w:rPr>
      </w:pPr>
      <w:r w:rsidRPr="004742FB">
        <w:rPr>
          <w:b/>
          <w:noProof/>
          <w:sz w:val="24"/>
          <w:u w:val="single"/>
          <w:lang w:val="en-GB" w:eastAsia="en-GB"/>
        </w:rPr>
        <w:t>Explosion</w:t>
      </w:r>
      <w:r w:rsidR="009425C2">
        <w:rPr>
          <w:b/>
          <w:noProof/>
          <w:sz w:val="24"/>
          <w:u w:val="single"/>
          <w:lang w:val="en-GB" w:eastAsia="en-GB"/>
        </w:rPr>
        <w:t xml:space="preserve">-proof </w:t>
      </w:r>
      <w:r w:rsidR="007353D5">
        <w:rPr>
          <w:b/>
          <w:noProof/>
          <w:sz w:val="24"/>
          <w:u w:val="single"/>
          <w:lang w:val="en-GB" w:eastAsia="en-GB"/>
        </w:rPr>
        <w:t>WEG Motors</w:t>
      </w:r>
      <w:r w:rsidRPr="004742FB">
        <w:rPr>
          <w:b/>
          <w:noProof/>
          <w:sz w:val="24"/>
          <w:u w:val="single"/>
          <w:lang w:val="en-GB" w:eastAsia="en-GB"/>
        </w:rPr>
        <w:t xml:space="preserve"> </w:t>
      </w:r>
      <w:r w:rsidR="000B5F13">
        <w:rPr>
          <w:b/>
          <w:noProof/>
          <w:sz w:val="24"/>
          <w:u w:val="single"/>
          <w:lang w:val="en-GB" w:eastAsia="en-GB"/>
        </w:rPr>
        <w:t>for</w:t>
      </w:r>
      <w:r w:rsidR="002D3892">
        <w:rPr>
          <w:b/>
          <w:noProof/>
          <w:sz w:val="24"/>
          <w:u w:val="single"/>
          <w:lang w:val="en-GB" w:eastAsia="en-GB"/>
        </w:rPr>
        <w:t xml:space="preserve"> any Case</w:t>
      </w:r>
      <w:r w:rsidRPr="004742FB">
        <w:rPr>
          <w:b/>
          <w:noProof/>
          <w:sz w:val="24"/>
          <w:u w:val="single"/>
          <w:lang w:val="en-GB" w:eastAsia="en-GB"/>
        </w:rPr>
        <w:t>.</w:t>
      </w:r>
    </w:p>
    <w:p w:rsidR="00E826AF" w:rsidRPr="004742FB" w:rsidRDefault="00E826AF" w:rsidP="004E19E8">
      <w:pPr>
        <w:rPr>
          <w:b/>
          <w:noProof/>
          <w:sz w:val="24"/>
          <w:u w:val="single"/>
          <w:lang w:val="en-GB" w:eastAsia="en-GB"/>
        </w:rPr>
      </w:pPr>
    </w:p>
    <w:p w:rsidR="00C452FA" w:rsidRDefault="000B5F13" w:rsidP="004E19E8">
      <w:pPr>
        <w:rPr>
          <w:rFonts w:cs="Arial"/>
          <w:b/>
          <w:sz w:val="20"/>
          <w:szCs w:val="20"/>
          <w:lang w:val="en-GB"/>
        </w:rPr>
      </w:pPr>
      <w:r>
        <w:rPr>
          <w:rFonts w:cs="Arial"/>
          <w:b/>
          <w:sz w:val="20"/>
          <w:szCs w:val="20"/>
          <w:lang w:val="en-GB"/>
        </w:rPr>
        <w:t xml:space="preserve">Thanks to the </w:t>
      </w:r>
      <w:r w:rsidR="00612EF1">
        <w:rPr>
          <w:rFonts w:cs="Arial"/>
          <w:b/>
          <w:sz w:val="20"/>
          <w:szCs w:val="20"/>
          <w:lang w:val="en-GB"/>
        </w:rPr>
        <w:t>substantial</w:t>
      </w:r>
      <w:r>
        <w:rPr>
          <w:rFonts w:cs="Arial"/>
          <w:b/>
          <w:sz w:val="20"/>
          <w:szCs w:val="20"/>
          <w:lang w:val="en-GB"/>
        </w:rPr>
        <w:t xml:space="preserve"> ATEX m</w:t>
      </w:r>
      <w:r w:rsidR="00D8582B" w:rsidRPr="004742FB">
        <w:rPr>
          <w:rFonts w:cs="Arial"/>
          <w:b/>
          <w:sz w:val="20"/>
          <w:szCs w:val="20"/>
          <w:lang w:val="en-GB"/>
        </w:rPr>
        <w:t>otor</w:t>
      </w:r>
      <w:r>
        <w:rPr>
          <w:rFonts w:cs="Arial"/>
          <w:b/>
          <w:sz w:val="20"/>
          <w:szCs w:val="20"/>
          <w:lang w:val="en-GB"/>
        </w:rPr>
        <w:t xml:space="preserve"> </w:t>
      </w:r>
      <w:r w:rsidR="00D8582B" w:rsidRPr="004742FB">
        <w:rPr>
          <w:rFonts w:cs="Arial"/>
          <w:b/>
          <w:sz w:val="20"/>
          <w:szCs w:val="20"/>
          <w:lang w:val="en-GB"/>
        </w:rPr>
        <w:t>programm</w:t>
      </w:r>
      <w:r>
        <w:rPr>
          <w:rFonts w:cs="Arial"/>
          <w:b/>
          <w:sz w:val="20"/>
          <w:szCs w:val="20"/>
          <w:lang w:val="en-GB"/>
        </w:rPr>
        <w:t>e of</w:t>
      </w:r>
      <w:r w:rsidR="00D8582B" w:rsidRPr="004742FB">
        <w:rPr>
          <w:rFonts w:cs="Arial"/>
          <w:b/>
          <w:sz w:val="20"/>
          <w:szCs w:val="20"/>
          <w:lang w:val="en-GB"/>
        </w:rPr>
        <w:t xml:space="preserve"> WEG</w:t>
      </w:r>
      <w:r>
        <w:rPr>
          <w:rFonts w:cs="Arial"/>
          <w:b/>
          <w:sz w:val="20"/>
          <w:szCs w:val="20"/>
          <w:lang w:val="en-GB"/>
        </w:rPr>
        <w:t>,</w:t>
      </w:r>
      <w:r w:rsidR="00D8582B" w:rsidRPr="004742FB">
        <w:rPr>
          <w:rFonts w:cs="Arial"/>
          <w:b/>
          <w:sz w:val="20"/>
          <w:szCs w:val="20"/>
          <w:lang w:val="en-GB"/>
        </w:rPr>
        <w:t xml:space="preserve"> Watt Drive </w:t>
      </w:r>
      <w:r>
        <w:rPr>
          <w:rFonts w:cs="Arial"/>
          <w:b/>
          <w:sz w:val="20"/>
          <w:szCs w:val="20"/>
          <w:lang w:val="en-GB"/>
        </w:rPr>
        <w:t xml:space="preserve">has the possibility </w:t>
      </w:r>
      <w:r w:rsidR="009425C2">
        <w:rPr>
          <w:rFonts w:cs="Arial"/>
          <w:b/>
          <w:sz w:val="20"/>
          <w:szCs w:val="20"/>
          <w:lang w:val="en-GB"/>
        </w:rPr>
        <w:t xml:space="preserve">to deliver the matching </w:t>
      </w:r>
      <w:r w:rsidR="00D8582B" w:rsidRPr="004742FB">
        <w:rPr>
          <w:rFonts w:cs="Arial"/>
          <w:b/>
          <w:sz w:val="20"/>
          <w:szCs w:val="20"/>
          <w:lang w:val="en-GB"/>
        </w:rPr>
        <w:t>explosion</w:t>
      </w:r>
      <w:r w:rsidR="00CB743E">
        <w:rPr>
          <w:rFonts w:cs="Arial"/>
          <w:b/>
          <w:sz w:val="20"/>
          <w:szCs w:val="20"/>
          <w:lang w:val="en-GB"/>
        </w:rPr>
        <w:t xml:space="preserve"> protected</w:t>
      </w:r>
      <w:r w:rsidR="00555D2B">
        <w:rPr>
          <w:rFonts w:cs="Arial"/>
          <w:b/>
          <w:sz w:val="20"/>
          <w:szCs w:val="20"/>
          <w:lang w:val="en-GB"/>
        </w:rPr>
        <w:t xml:space="preserve"> </w:t>
      </w:r>
      <w:r w:rsidR="009425C2">
        <w:rPr>
          <w:rFonts w:cs="Arial"/>
          <w:b/>
          <w:sz w:val="20"/>
          <w:szCs w:val="20"/>
          <w:lang w:val="en-GB"/>
        </w:rPr>
        <w:t>drive</w:t>
      </w:r>
      <w:r w:rsidR="004020D6" w:rsidRPr="004020D6">
        <w:rPr>
          <w:rFonts w:cs="Arial"/>
          <w:b/>
          <w:sz w:val="20"/>
          <w:szCs w:val="20"/>
          <w:lang w:val="en-GB"/>
        </w:rPr>
        <w:t xml:space="preserve"> </w:t>
      </w:r>
      <w:r w:rsidR="004020D6">
        <w:rPr>
          <w:rFonts w:cs="Arial"/>
          <w:b/>
          <w:sz w:val="20"/>
          <w:szCs w:val="20"/>
          <w:lang w:val="en-GB"/>
        </w:rPr>
        <w:t>fo</w:t>
      </w:r>
      <w:r w:rsidR="004020D6" w:rsidRPr="004742FB">
        <w:rPr>
          <w:rFonts w:cs="Arial"/>
          <w:b/>
          <w:sz w:val="20"/>
          <w:szCs w:val="20"/>
          <w:lang w:val="en-GB"/>
        </w:rPr>
        <w:t xml:space="preserve">r </w:t>
      </w:r>
      <w:r w:rsidR="004020D6">
        <w:rPr>
          <w:rFonts w:cs="Arial"/>
          <w:b/>
          <w:sz w:val="20"/>
          <w:szCs w:val="20"/>
          <w:lang w:val="en-GB"/>
        </w:rPr>
        <w:t xml:space="preserve">nearly all </w:t>
      </w:r>
      <w:r w:rsidR="002300A9">
        <w:rPr>
          <w:rFonts w:cs="Arial"/>
          <w:b/>
          <w:sz w:val="20"/>
          <w:szCs w:val="20"/>
          <w:lang w:val="en-GB"/>
        </w:rPr>
        <w:t>power ranges</w:t>
      </w:r>
      <w:r w:rsidR="004020D6">
        <w:rPr>
          <w:rFonts w:cs="Arial"/>
          <w:b/>
          <w:sz w:val="20"/>
          <w:szCs w:val="20"/>
          <w:lang w:val="en-GB"/>
        </w:rPr>
        <w:t xml:space="preserve"> and application fields</w:t>
      </w:r>
      <w:r w:rsidR="00D8582B" w:rsidRPr="004742FB">
        <w:rPr>
          <w:rFonts w:cs="Arial"/>
          <w:b/>
          <w:sz w:val="20"/>
          <w:szCs w:val="20"/>
          <w:lang w:val="en-GB"/>
        </w:rPr>
        <w:t>.</w:t>
      </w:r>
      <w:r w:rsidR="00C452FA" w:rsidRPr="004742FB">
        <w:rPr>
          <w:rFonts w:cs="Arial"/>
          <w:b/>
          <w:sz w:val="20"/>
          <w:szCs w:val="20"/>
          <w:lang w:val="en-GB"/>
        </w:rPr>
        <w:t xml:space="preserve"> </w:t>
      </w:r>
      <w:r w:rsidR="00D33359">
        <w:rPr>
          <w:rFonts w:cs="Arial"/>
          <w:b/>
          <w:sz w:val="20"/>
          <w:szCs w:val="20"/>
          <w:lang w:val="en-GB"/>
        </w:rPr>
        <w:t>No matter if g</w:t>
      </w:r>
      <w:r w:rsidR="007124E4" w:rsidRPr="004742FB">
        <w:rPr>
          <w:rFonts w:cs="Arial"/>
          <w:b/>
          <w:sz w:val="20"/>
          <w:szCs w:val="20"/>
          <w:lang w:val="en-GB"/>
        </w:rPr>
        <w:t>as</w:t>
      </w:r>
      <w:r w:rsidR="00304CAF" w:rsidRPr="004742FB">
        <w:rPr>
          <w:rFonts w:cs="Arial"/>
          <w:b/>
          <w:sz w:val="20"/>
          <w:szCs w:val="20"/>
          <w:lang w:val="en-GB"/>
        </w:rPr>
        <w:t>-</w:t>
      </w:r>
      <w:r w:rsidR="00D33359">
        <w:rPr>
          <w:rFonts w:cs="Arial"/>
          <w:b/>
          <w:sz w:val="20"/>
          <w:szCs w:val="20"/>
          <w:lang w:val="en-GB"/>
        </w:rPr>
        <w:t xml:space="preserve"> o</w:t>
      </w:r>
      <w:r w:rsidR="007124E4" w:rsidRPr="004742FB">
        <w:rPr>
          <w:rFonts w:cs="Arial"/>
          <w:b/>
          <w:sz w:val="20"/>
          <w:szCs w:val="20"/>
          <w:lang w:val="en-GB"/>
        </w:rPr>
        <w:t xml:space="preserve">r </w:t>
      </w:r>
      <w:r w:rsidR="00D33359">
        <w:rPr>
          <w:rFonts w:cs="Arial"/>
          <w:b/>
          <w:sz w:val="20"/>
          <w:szCs w:val="20"/>
          <w:lang w:val="en-GB"/>
        </w:rPr>
        <w:t xml:space="preserve">dust </w:t>
      </w:r>
      <w:r w:rsidR="003908BF">
        <w:rPr>
          <w:rFonts w:cs="Arial"/>
          <w:b/>
          <w:sz w:val="20"/>
          <w:szCs w:val="20"/>
          <w:lang w:val="en-GB"/>
        </w:rPr>
        <w:t>area</w:t>
      </w:r>
      <w:r w:rsidR="00D33359">
        <w:rPr>
          <w:rFonts w:cs="Arial"/>
          <w:b/>
          <w:sz w:val="20"/>
          <w:szCs w:val="20"/>
          <w:lang w:val="en-GB"/>
        </w:rPr>
        <w:t xml:space="preserve"> a</w:t>
      </w:r>
      <w:r w:rsidR="008C6543" w:rsidRPr="004742FB">
        <w:rPr>
          <w:rFonts w:cs="Arial"/>
          <w:b/>
          <w:sz w:val="20"/>
          <w:szCs w:val="20"/>
          <w:lang w:val="en-GB"/>
        </w:rPr>
        <w:t xml:space="preserve">nd </w:t>
      </w:r>
      <w:r w:rsidR="006B5DA2">
        <w:rPr>
          <w:rFonts w:cs="Arial"/>
          <w:b/>
          <w:sz w:val="20"/>
          <w:szCs w:val="20"/>
          <w:lang w:val="en-GB"/>
        </w:rPr>
        <w:t>which</w:t>
      </w:r>
      <w:r w:rsidR="008C6543" w:rsidRPr="004742FB">
        <w:rPr>
          <w:rFonts w:cs="Arial"/>
          <w:b/>
          <w:sz w:val="20"/>
          <w:szCs w:val="20"/>
          <w:lang w:val="en-GB"/>
        </w:rPr>
        <w:t xml:space="preserve"> </w:t>
      </w:r>
      <w:r w:rsidR="006B5DA2">
        <w:rPr>
          <w:rFonts w:cs="Arial"/>
          <w:b/>
          <w:sz w:val="20"/>
          <w:szCs w:val="20"/>
          <w:lang w:val="en-GB"/>
        </w:rPr>
        <w:t>ignition protection type</w:t>
      </w:r>
      <w:r w:rsidR="007124E4" w:rsidRPr="004742FB">
        <w:rPr>
          <w:rFonts w:cs="Arial"/>
          <w:b/>
          <w:sz w:val="20"/>
          <w:szCs w:val="20"/>
          <w:lang w:val="en-GB"/>
        </w:rPr>
        <w:t xml:space="preserve"> </w:t>
      </w:r>
      <w:r w:rsidR="00D01ACC">
        <w:rPr>
          <w:rFonts w:cs="Arial"/>
          <w:b/>
          <w:sz w:val="20"/>
          <w:szCs w:val="20"/>
          <w:lang w:val="en-GB"/>
        </w:rPr>
        <w:t>is required</w:t>
      </w:r>
      <w:r w:rsidR="007124E4" w:rsidRPr="004742FB">
        <w:rPr>
          <w:rFonts w:cs="Arial"/>
          <w:b/>
          <w:sz w:val="20"/>
          <w:szCs w:val="20"/>
          <w:lang w:val="en-GB"/>
        </w:rPr>
        <w:t>,</w:t>
      </w:r>
      <w:r w:rsidR="00BA6C19" w:rsidRPr="004742FB">
        <w:rPr>
          <w:rFonts w:cs="Arial"/>
          <w:b/>
          <w:sz w:val="20"/>
          <w:szCs w:val="20"/>
          <w:lang w:val="en-GB"/>
        </w:rPr>
        <w:t xml:space="preserve"> </w:t>
      </w:r>
      <w:r w:rsidR="00A17599" w:rsidRPr="004742FB">
        <w:rPr>
          <w:rFonts w:cs="Arial"/>
          <w:b/>
          <w:sz w:val="20"/>
          <w:szCs w:val="20"/>
          <w:lang w:val="en-GB"/>
        </w:rPr>
        <w:t xml:space="preserve">WEG </w:t>
      </w:r>
      <w:r w:rsidR="00D01ACC">
        <w:rPr>
          <w:rFonts w:cs="Arial"/>
          <w:b/>
          <w:sz w:val="20"/>
          <w:szCs w:val="20"/>
          <w:lang w:val="en-GB"/>
        </w:rPr>
        <w:t>has</w:t>
      </w:r>
      <w:r w:rsidR="00304CAF" w:rsidRPr="004742FB">
        <w:rPr>
          <w:rFonts w:cs="Arial"/>
          <w:b/>
          <w:sz w:val="20"/>
          <w:szCs w:val="20"/>
          <w:lang w:val="en-GB"/>
        </w:rPr>
        <w:t xml:space="preserve"> </w:t>
      </w:r>
      <w:r w:rsidR="00D01ACC">
        <w:rPr>
          <w:rFonts w:cs="Arial"/>
          <w:b/>
          <w:sz w:val="20"/>
          <w:szCs w:val="20"/>
          <w:lang w:val="en-GB"/>
        </w:rPr>
        <w:t xml:space="preserve">the </w:t>
      </w:r>
      <w:r w:rsidR="006B5DA2">
        <w:rPr>
          <w:rFonts w:cs="Arial"/>
          <w:b/>
          <w:sz w:val="20"/>
          <w:szCs w:val="20"/>
          <w:lang w:val="en-GB"/>
        </w:rPr>
        <w:t>appropriate</w:t>
      </w:r>
      <w:r w:rsidR="00BA6C19" w:rsidRPr="004742FB">
        <w:rPr>
          <w:rFonts w:cs="Arial"/>
          <w:b/>
          <w:sz w:val="20"/>
          <w:szCs w:val="20"/>
          <w:lang w:val="en-GB"/>
        </w:rPr>
        <w:t xml:space="preserve"> </w:t>
      </w:r>
      <w:r w:rsidR="00D01ACC">
        <w:rPr>
          <w:rFonts w:cs="Arial"/>
          <w:b/>
          <w:sz w:val="20"/>
          <w:szCs w:val="20"/>
          <w:lang w:val="en-GB"/>
        </w:rPr>
        <w:t>solution</w:t>
      </w:r>
      <w:r w:rsidR="00BA6C19" w:rsidRPr="004742FB">
        <w:rPr>
          <w:rFonts w:cs="Arial"/>
          <w:b/>
          <w:sz w:val="20"/>
          <w:szCs w:val="20"/>
          <w:lang w:val="en-GB"/>
        </w:rPr>
        <w:t xml:space="preserve">. </w:t>
      </w:r>
      <w:r w:rsidR="0094324B">
        <w:rPr>
          <w:rFonts w:cs="Arial"/>
          <w:b/>
          <w:sz w:val="20"/>
          <w:szCs w:val="20"/>
          <w:lang w:val="en-GB"/>
        </w:rPr>
        <w:t>At that we are not only considering the highest safety</w:t>
      </w:r>
      <w:r w:rsidR="00C452FA" w:rsidRPr="004742FB">
        <w:rPr>
          <w:rFonts w:cs="Arial"/>
          <w:b/>
          <w:sz w:val="20"/>
          <w:szCs w:val="20"/>
          <w:lang w:val="en-GB"/>
        </w:rPr>
        <w:t xml:space="preserve">, </w:t>
      </w:r>
      <w:r w:rsidR="0094324B">
        <w:rPr>
          <w:rFonts w:cs="Arial"/>
          <w:b/>
          <w:sz w:val="20"/>
          <w:szCs w:val="20"/>
          <w:lang w:val="en-GB"/>
        </w:rPr>
        <w:t>but also cost efficiency</w:t>
      </w:r>
      <w:r w:rsidR="007124E4" w:rsidRPr="004742FB">
        <w:rPr>
          <w:rFonts w:cs="Arial"/>
          <w:b/>
          <w:sz w:val="20"/>
          <w:szCs w:val="20"/>
          <w:lang w:val="en-GB"/>
        </w:rPr>
        <w:t xml:space="preserve">. </w:t>
      </w:r>
      <w:r w:rsidR="00892F87">
        <w:rPr>
          <w:rFonts w:cs="Arial"/>
          <w:b/>
          <w:sz w:val="20"/>
          <w:szCs w:val="20"/>
          <w:lang w:val="en-GB"/>
        </w:rPr>
        <w:t>The</w:t>
      </w:r>
      <w:r w:rsidR="00304CAF" w:rsidRPr="004742FB">
        <w:rPr>
          <w:rFonts w:cs="Arial"/>
          <w:b/>
          <w:sz w:val="20"/>
          <w:szCs w:val="20"/>
          <w:lang w:val="en-GB"/>
        </w:rPr>
        <w:t xml:space="preserve"> </w:t>
      </w:r>
      <w:r w:rsidR="00892F87">
        <w:rPr>
          <w:rFonts w:cs="Arial"/>
          <w:b/>
          <w:sz w:val="20"/>
          <w:szCs w:val="20"/>
          <w:lang w:val="en-GB"/>
        </w:rPr>
        <w:t>motor series W22X is</w:t>
      </w:r>
      <w:r w:rsidR="00304CAF" w:rsidRPr="004742FB">
        <w:rPr>
          <w:rFonts w:cs="Arial"/>
          <w:b/>
          <w:sz w:val="20"/>
          <w:szCs w:val="20"/>
          <w:lang w:val="en-GB"/>
        </w:rPr>
        <w:t xml:space="preserve"> </w:t>
      </w:r>
      <w:r w:rsidR="003A0130">
        <w:rPr>
          <w:rFonts w:cs="Arial"/>
          <w:b/>
          <w:sz w:val="20"/>
          <w:szCs w:val="20"/>
          <w:lang w:val="en-GB"/>
        </w:rPr>
        <w:t xml:space="preserve">available </w:t>
      </w:r>
      <w:r w:rsidR="00892F87">
        <w:rPr>
          <w:rFonts w:cs="Arial"/>
          <w:b/>
          <w:sz w:val="20"/>
          <w:szCs w:val="20"/>
          <w:lang w:val="en-GB"/>
        </w:rPr>
        <w:t>fo</w:t>
      </w:r>
      <w:r w:rsidR="00332CD5" w:rsidRPr="004742FB">
        <w:rPr>
          <w:rFonts w:cs="Arial"/>
          <w:b/>
          <w:sz w:val="20"/>
          <w:szCs w:val="20"/>
          <w:lang w:val="en-GB"/>
        </w:rPr>
        <w:t xml:space="preserve">r </w:t>
      </w:r>
      <w:r w:rsidR="003A0130">
        <w:rPr>
          <w:rFonts w:cs="Arial"/>
          <w:b/>
          <w:sz w:val="20"/>
          <w:szCs w:val="20"/>
          <w:lang w:val="en-GB"/>
        </w:rPr>
        <w:t>several</w:t>
      </w:r>
      <w:r w:rsidR="00332CD5" w:rsidRPr="004742FB">
        <w:rPr>
          <w:rFonts w:cs="Arial"/>
          <w:b/>
          <w:sz w:val="20"/>
          <w:szCs w:val="20"/>
          <w:lang w:val="en-GB"/>
        </w:rPr>
        <w:t xml:space="preserve"> </w:t>
      </w:r>
      <w:r w:rsidR="003A0130">
        <w:rPr>
          <w:rFonts w:cs="Arial"/>
          <w:b/>
          <w:sz w:val="20"/>
          <w:szCs w:val="20"/>
          <w:lang w:val="en-GB"/>
        </w:rPr>
        <w:t>type series</w:t>
      </w:r>
      <w:r w:rsidR="00332CD5" w:rsidRPr="004742FB">
        <w:rPr>
          <w:rFonts w:cs="Arial"/>
          <w:b/>
          <w:sz w:val="20"/>
          <w:szCs w:val="20"/>
          <w:lang w:val="en-GB"/>
        </w:rPr>
        <w:t xml:space="preserve"> </w:t>
      </w:r>
      <w:r w:rsidR="003A0130">
        <w:rPr>
          <w:rFonts w:cs="Arial"/>
          <w:b/>
          <w:sz w:val="20"/>
          <w:szCs w:val="20"/>
          <w:lang w:val="en-GB"/>
        </w:rPr>
        <w:t>up to efficiency class</w:t>
      </w:r>
      <w:r w:rsidR="0048660B" w:rsidRPr="004742FB">
        <w:rPr>
          <w:rFonts w:cs="Arial"/>
          <w:b/>
          <w:sz w:val="20"/>
          <w:szCs w:val="20"/>
          <w:lang w:val="en-GB"/>
        </w:rPr>
        <w:t xml:space="preserve"> IE3.</w:t>
      </w:r>
    </w:p>
    <w:p w:rsidR="00D60EDD" w:rsidRDefault="00D60EDD" w:rsidP="004E19E8">
      <w:pPr>
        <w:rPr>
          <w:rFonts w:cs="Arial"/>
          <w:b/>
          <w:sz w:val="20"/>
          <w:szCs w:val="20"/>
          <w:lang w:val="en-GB"/>
        </w:rPr>
      </w:pPr>
    </w:p>
    <w:p w:rsidR="00D60EDD" w:rsidRDefault="00D60EDD" w:rsidP="00D60EDD">
      <w:pPr>
        <w:jc w:val="center"/>
        <w:rPr>
          <w:rFonts w:cs="Arial"/>
          <w:sz w:val="20"/>
          <w:szCs w:val="20"/>
          <w:lang w:val="de-AT"/>
        </w:rPr>
      </w:pPr>
      <w:r>
        <w:rPr>
          <w:rFonts w:cs="Arial"/>
          <w:noProof/>
          <w:sz w:val="20"/>
          <w:szCs w:val="20"/>
          <w:lang w:val="en-GB" w:eastAsia="en-GB"/>
        </w:rPr>
        <w:drawing>
          <wp:inline distT="0" distB="0" distL="0" distR="0" wp14:anchorId="729C727F" wp14:editId="76E177CE">
            <wp:extent cx="2048933" cy="2048933"/>
            <wp:effectExtent l="0" t="0" r="889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w22x-explosion-proof-motor.png"/>
                    <pic:cNvPicPr/>
                  </pic:nvPicPr>
                  <pic:blipFill>
                    <a:blip r:embed="rId9">
                      <a:extLst>
                        <a:ext uri="{28A0092B-C50C-407E-A947-70E740481C1C}">
                          <a14:useLocalDpi xmlns:a14="http://schemas.microsoft.com/office/drawing/2010/main" val="0"/>
                        </a:ext>
                      </a:extLst>
                    </a:blip>
                    <a:stretch>
                      <a:fillRect/>
                    </a:stretch>
                  </pic:blipFill>
                  <pic:spPr>
                    <a:xfrm>
                      <a:off x="0" y="0"/>
                      <a:ext cx="2050756" cy="2050756"/>
                    </a:xfrm>
                    <a:prstGeom prst="rect">
                      <a:avLst/>
                    </a:prstGeom>
                  </pic:spPr>
                </pic:pic>
              </a:graphicData>
            </a:graphic>
          </wp:inline>
        </w:drawing>
      </w:r>
    </w:p>
    <w:p w:rsidR="00D60EDD" w:rsidRPr="004614D2" w:rsidRDefault="00D60EDD" w:rsidP="00D60EDD">
      <w:pPr>
        <w:jc w:val="center"/>
        <w:rPr>
          <w:noProof/>
          <w:sz w:val="20"/>
          <w:szCs w:val="20"/>
          <w:lang w:val="en-GB" w:eastAsia="en-GB"/>
        </w:rPr>
      </w:pPr>
      <w:r w:rsidRPr="004614D2">
        <w:rPr>
          <w:noProof/>
          <w:sz w:val="20"/>
          <w:szCs w:val="20"/>
          <w:lang w:val="en-GB" w:eastAsia="en-GB"/>
        </w:rPr>
        <w:t>Picture 1: WEG W22X Line</w:t>
      </w:r>
    </w:p>
    <w:p w:rsidR="00D60EDD" w:rsidRPr="004742FB" w:rsidRDefault="00D60EDD" w:rsidP="004E19E8">
      <w:pPr>
        <w:rPr>
          <w:rFonts w:cs="Arial"/>
          <w:b/>
          <w:sz w:val="20"/>
          <w:szCs w:val="20"/>
          <w:lang w:val="en-GB"/>
        </w:rPr>
      </w:pPr>
    </w:p>
    <w:p w:rsidR="00537753" w:rsidRPr="004742FB" w:rsidRDefault="00C452FA" w:rsidP="004E19E8">
      <w:pPr>
        <w:rPr>
          <w:rFonts w:cs="Arial"/>
          <w:sz w:val="20"/>
          <w:szCs w:val="20"/>
          <w:lang w:val="en-GB"/>
        </w:rPr>
      </w:pPr>
      <w:r w:rsidRPr="004742FB">
        <w:rPr>
          <w:rFonts w:cs="Arial"/>
          <w:sz w:val="20"/>
          <w:szCs w:val="20"/>
          <w:lang w:val="en-GB"/>
        </w:rPr>
        <w:t xml:space="preserve"> </w:t>
      </w:r>
    </w:p>
    <w:p w:rsidR="00D13D1B" w:rsidRPr="004742FB" w:rsidRDefault="00832227" w:rsidP="004E19E8">
      <w:pPr>
        <w:rPr>
          <w:rFonts w:cs="Arial"/>
          <w:sz w:val="20"/>
          <w:szCs w:val="20"/>
          <w:lang w:val="en-GB"/>
        </w:rPr>
      </w:pPr>
      <w:r>
        <w:rPr>
          <w:rFonts w:cs="Arial"/>
          <w:sz w:val="20"/>
          <w:szCs w:val="20"/>
          <w:lang w:val="en-GB"/>
        </w:rPr>
        <w:t>The W22X motors</w:t>
      </w:r>
      <w:r w:rsidR="00BA6C19" w:rsidRPr="004742FB">
        <w:rPr>
          <w:rFonts w:cs="Arial"/>
          <w:sz w:val="20"/>
          <w:szCs w:val="20"/>
          <w:lang w:val="en-GB"/>
        </w:rPr>
        <w:t xml:space="preserve"> </w:t>
      </w:r>
      <w:r>
        <w:rPr>
          <w:rFonts w:cs="Arial"/>
          <w:sz w:val="20"/>
          <w:szCs w:val="20"/>
          <w:lang w:val="en-GB"/>
        </w:rPr>
        <w:t>with</w:t>
      </w:r>
      <w:r w:rsidR="00BA6C19" w:rsidRPr="004742FB">
        <w:rPr>
          <w:rFonts w:cs="Arial"/>
          <w:sz w:val="20"/>
          <w:szCs w:val="20"/>
          <w:lang w:val="en-GB"/>
        </w:rPr>
        <w:t xml:space="preserve"> ATEX/</w:t>
      </w:r>
      <w:r w:rsidR="008C6543" w:rsidRPr="004742FB">
        <w:rPr>
          <w:rFonts w:cs="Arial"/>
          <w:sz w:val="20"/>
          <w:szCs w:val="20"/>
          <w:lang w:val="en-GB"/>
        </w:rPr>
        <w:t xml:space="preserve"> </w:t>
      </w:r>
      <w:r w:rsidR="00BA6C19" w:rsidRPr="004742FB">
        <w:rPr>
          <w:rFonts w:cs="Arial"/>
          <w:sz w:val="20"/>
          <w:szCs w:val="20"/>
          <w:lang w:val="en-GB"/>
        </w:rPr>
        <w:t>IECEx</w:t>
      </w:r>
      <w:r w:rsidR="008C6543" w:rsidRPr="004742FB">
        <w:rPr>
          <w:rFonts w:cs="Arial"/>
          <w:sz w:val="20"/>
          <w:szCs w:val="20"/>
          <w:lang w:val="en-GB"/>
        </w:rPr>
        <w:t xml:space="preserve"> </w:t>
      </w:r>
      <w:r>
        <w:rPr>
          <w:rFonts w:cs="Arial"/>
          <w:sz w:val="20"/>
          <w:szCs w:val="20"/>
          <w:lang w:val="en-GB"/>
        </w:rPr>
        <w:t>certification</w:t>
      </w:r>
      <w:r w:rsidR="00BA6C19" w:rsidRPr="004742FB">
        <w:rPr>
          <w:rFonts w:cs="Arial"/>
          <w:sz w:val="20"/>
          <w:szCs w:val="20"/>
          <w:lang w:val="en-GB"/>
        </w:rPr>
        <w:t xml:space="preserve"> </w:t>
      </w:r>
      <w:r w:rsidR="00A06974">
        <w:rPr>
          <w:rFonts w:cs="Arial"/>
          <w:sz w:val="20"/>
          <w:szCs w:val="20"/>
          <w:lang w:val="en-GB"/>
        </w:rPr>
        <w:t xml:space="preserve">are designed for high requirements </w:t>
      </w:r>
      <w:r w:rsidR="0063306A">
        <w:rPr>
          <w:rFonts w:cs="Arial"/>
          <w:sz w:val="20"/>
          <w:szCs w:val="20"/>
          <w:lang w:val="en-GB"/>
        </w:rPr>
        <w:t xml:space="preserve">of </w:t>
      </w:r>
      <w:r w:rsidR="00BA6C19" w:rsidRPr="004742FB">
        <w:rPr>
          <w:rFonts w:cs="Arial"/>
          <w:sz w:val="20"/>
          <w:szCs w:val="20"/>
          <w:lang w:val="en-GB"/>
        </w:rPr>
        <w:t>aggres</w:t>
      </w:r>
      <w:r w:rsidR="0063306A">
        <w:rPr>
          <w:rFonts w:cs="Arial"/>
          <w:sz w:val="20"/>
          <w:szCs w:val="20"/>
          <w:lang w:val="en-GB"/>
        </w:rPr>
        <w:t>sive a</w:t>
      </w:r>
      <w:r w:rsidR="008C6543" w:rsidRPr="004742FB">
        <w:rPr>
          <w:rFonts w:cs="Arial"/>
          <w:sz w:val="20"/>
          <w:szCs w:val="20"/>
          <w:lang w:val="en-GB"/>
        </w:rPr>
        <w:t>nd explosion</w:t>
      </w:r>
      <w:r w:rsidR="0063306A">
        <w:rPr>
          <w:rFonts w:cs="Arial"/>
          <w:sz w:val="20"/>
          <w:szCs w:val="20"/>
          <w:lang w:val="en-GB"/>
        </w:rPr>
        <w:t>-prone areas</w:t>
      </w:r>
      <w:r w:rsidR="00D13D1B" w:rsidRPr="004742FB">
        <w:rPr>
          <w:rFonts w:cs="Arial"/>
          <w:sz w:val="20"/>
          <w:szCs w:val="20"/>
          <w:lang w:val="en-GB"/>
        </w:rPr>
        <w:t xml:space="preserve">. </w:t>
      </w:r>
      <w:r w:rsidR="007C5214">
        <w:rPr>
          <w:rFonts w:cs="Arial"/>
          <w:sz w:val="20"/>
          <w:szCs w:val="20"/>
          <w:lang w:val="en-GB"/>
        </w:rPr>
        <w:t>This</w:t>
      </w:r>
      <w:r w:rsidR="00D13D1B" w:rsidRPr="004742FB">
        <w:rPr>
          <w:rFonts w:cs="Arial"/>
          <w:sz w:val="20"/>
          <w:szCs w:val="20"/>
          <w:lang w:val="en-GB"/>
        </w:rPr>
        <w:t xml:space="preserve"> </w:t>
      </w:r>
      <w:r w:rsidR="00CE36B0">
        <w:rPr>
          <w:rFonts w:cs="Arial"/>
          <w:sz w:val="20"/>
          <w:szCs w:val="20"/>
          <w:lang w:val="en-GB"/>
        </w:rPr>
        <w:t xml:space="preserve">type series is available as low, middle and </w:t>
      </w:r>
      <w:r w:rsidR="00655DDB">
        <w:rPr>
          <w:rFonts w:cs="Arial"/>
          <w:sz w:val="20"/>
          <w:szCs w:val="20"/>
          <w:lang w:val="en-GB"/>
        </w:rPr>
        <w:t xml:space="preserve">high voltage </w:t>
      </w:r>
      <w:r w:rsidR="00CE36B0">
        <w:rPr>
          <w:rFonts w:cs="Arial"/>
          <w:sz w:val="20"/>
          <w:szCs w:val="20"/>
          <w:lang w:val="en-GB"/>
        </w:rPr>
        <w:t>variant</w:t>
      </w:r>
      <w:r w:rsidR="00D13D1B" w:rsidRPr="004742FB">
        <w:rPr>
          <w:rFonts w:cs="Arial"/>
          <w:sz w:val="20"/>
          <w:szCs w:val="20"/>
          <w:lang w:val="en-GB"/>
        </w:rPr>
        <w:t xml:space="preserve">. </w:t>
      </w:r>
    </w:p>
    <w:p w:rsidR="00D13D1B" w:rsidRPr="004742FB" w:rsidRDefault="00D13D1B" w:rsidP="004E19E8">
      <w:pPr>
        <w:rPr>
          <w:rFonts w:cs="Arial"/>
          <w:sz w:val="20"/>
          <w:szCs w:val="20"/>
          <w:lang w:val="en-GB"/>
        </w:rPr>
      </w:pPr>
    </w:p>
    <w:p w:rsidR="00FC7275" w:rsidRPr="004742FB" w:rsidRDefault="00275732" w:rsidP="004E19E8">
      <w:pPr>
        <w:rPr>
          <w:rFonts w:cs="Arial"/>
          <w:sz w:val="20"/>
          <w:szCs w:val="20"/>
          <w:lang w:val="en-GB"/>
        </w:rPr>
      </w:pPr>
      <w:r>
        <w:rPr>
          <w:rFonts w:cs="Arial"/>
          <w:sz w:val="20"/>
          <w:szCs w:val="20"/>
          <w:lang w:val="en-GB"/>
        </w:rPr>
        <w:t>Fo</w:t>
      </w:r>
      <w:r w:rsidR="00F12D67" w:rsidRPr="004742FB">
        <w:rPr>
          <w:rFonts w:cs="Arial"/>
          <w:sz w:val="20"/>
          <w:szCs w:val="20"/>
          <w:lang w:val="en-GB"/>
        </w:rPr>
        <w:t xml:space="preserve">r </w:t>
      </w:r>
      <w:r>
        <w:rPr>
          <w:rFonts w:cs="Arial"/>
          <w:sz w:val="20"/>
          <w:szCs w:val="20"/>
          <w:lang w:val="en-GB"/>
        </w:rPr>
        <w:t>the power range of</w:t>
      </w:r>
      <w:r w:rsidR="00F12D67" w:rsidRPr="004742FB">
        <w:rPr>
          <w:rFonts w:cs="Arial"/>
          <w:sz w:val="20"/>
          <w:szCs w:val="20"/>
          <w:lang w:val="en-GB"/>
        </w:rPr>
        <w:t xml:space="preserve"> </w:t>
      </w:r>
      <w:r w:rsidR="007C5214">
        <w:rPr>
          <w:rFonts w:cs="Arial"/>
          <w:sz w:val="20"/>
          <w:szCs w:val="20"/>
          <w:lang w:val="en-GB"/>
        </w:rPr>
        <w:t>0.</w:t>
      </w:r>
      <w:r w:rsidR="00C202FE" w:rsidRPr="004742FB">
        <w:rPr>
          <w:rFonts w:cs="Arial"/>
          <w:sz w:val="20"/>
          <w:szCs w:val="20"/>
          <w:lang w:val="en-GB"/>
        </w:rPr>
        <w:t>12</w:t>
      </w:r>
      <w:r w:rsidR="00D13D1B" w:rsidRPr="004742FB">
        <w:rPr>
          <w:rFonts w:cs="Arial"/>
          <w:sz w:val="20"/>
          <w:szCs w:val="20"/>
          <w:lang w:val="en-GB"/>
        </w:rPr>
        <w:t xml:space="preserve"> </w:t>
      </w:r>
      <w:r>
        <w:rPr>
          <w:rFonts w:cs="Arial"/>
          <w:sz w:val="20"/>
          <w:szCs w:val="20"/>
          <w:lang w:val="en-GB"/>
        </w:rPr>
        <w:t>up to</w:t>
      </w:r>
      <w:r w:rsidR="00D13D1B" w:rsidRPr="004742FB">
        <w:rPr>
          <w:rFonts w:cs="Arial"/>
          <w:sz w:val="20"/>
          <w:szCs w:val="20"/>
          <w:lang w:val="en-GB"/>
        </w:rPr>
        <w:t xml:space="preserve"> </w:t>
      </w:r>
      <w:r w:rsidR="00B80A75" w:rsidRPr="004742FB">
        <w:rPr>
          <w:rFonts w:cs="Arial"/>
          <w:sz w:val="20"/>
          <w:szCs w:val="20"/>
          <w:lang w:val="en-GB"/>
        </w:rPr>
        <w:t xml:space="preserve">1400 </w:t>
      </w:r>
      <w:r w:rsidR="00D13D1B" w:rsidRPr="004742FB">
        <w:rPr>
          <w:rFonts w:cs="Arial"/>
          <w:sz w:val="20"/>
          <w:szCs w:val="20"/>
          <w:lang w:val="en-GB"/>
        </w:rPr>
        <w:t>kW</w:t>
      </w:r>
      <w:r w:rsidR="00F12D67" w:rsidRPr="004742FB">
        <w:rPr>
          <w:rFonts w:cs="Arial"/>
          <w:sz w:val="20"/>
          <w:szCs w:val="20"/>
          <w:lang w:val="en-GB"/>
        </w:rPr>
        <w:t xml:space="preserve"> </w:t>
      </w:r>
      <w:r>
        <w:rPr>
          <w:rFonts w:cs="Arial"/>
          <w:sz w:val="20"/>
          <w:szCs w:val="20"/>
          <w:lang w:val="en-GB"/>
        </w:rPr>
        <w:t>low voltage motors with varying ignition protection types are used</w:t>
      </w:r>
      <w:r w:rsidR="00F12D67" w:rsidRPr="004742FB">
        <w:rPr>
          <w:rFonts w:cs="Arial"/>
          <w:sz w:val="20"/>
          <w:szCs w:val="20"/>
          <w:lang w:val="en-GB"/>
        </w:rPr>
        <w:t>,</w:t>
      </w:r>
      <w:r w:rsidR="00D13D1B" w:rsidRPr="004742FB">
        <w:rPr>
          <w:rFonts w:cs="Arial"/>
          <w:sz w:val="20"/>
          <w:szCs w:val="20"/>
          <w:lang w:val="en-GB"/>
        </w:rPr>
        <w:t xml:space="preserve"> </w:t>
      </w:r>
      <w:r>
        <w:rPr>
          <w:rFonts w:cs="Arial"/>
          <w:sz w:val="20"/>
          <w:szCs w:val="20"/>
          <w:lang w:val="en-GB"/>
        </w:rPr>
        <w:t xml:space="preserve">that are </w:t>
      </w:r>
      <w:r w:rsidR="00506E5D">
        <w:rPr>
          <w:rFonts w:cs="Arial"/>
          <w:sz w:val="20"/>
          <w:szCs w:val="20"/>
          <w:lang w:val="en-GB"/>
        </w:rPr>
        <w:t>suitable for the z</w:t>
      </w:r>
      <w:r w:rsidR="008702C2" w:rsidRPr="004742FB">
        <w:rPr>
          <w:rFonts w:cs="Arial"/>
          <w:sz w:val="20"/>
          <w:szCs w:val="20"/>
          <w:lang w:val="en-GB"/>
        </w:rPr>
        <w:t>one</w:t>
      </w:r>
      <w:r w:rsidR="00506E5D">
        <w:rPr>
          <w:rFonts w:cs="Arial"/>
          <w:sz w:val="20"/>
          <w:szCs w:val="20"/>
          <w:lang w:val="en-GB"/>
        </w:rPr>
        <w:t>s 1, 21, 2 a</w:t>
      </w:r>
      <w:r w:rsidR="008702C2" w:rsidRPr="004742FB">
        <w:rPr>
          <w:rFonts w:cs="Arial"/>
          <w:sz w:val="20"/>
          <w:szCs w:val="20"/>
          <w:lang w:val="en-GB"/>
        </w:rPr>
        <w:t xml:space="preserve">nd </w:t>
      </w:r>
      <w:r w:rsidR="00F12D67" w:rsidRPr="004742FB">
        <w:rPr>
          <w:rFonts w:cs="Arial"/>
          <w:sz w:val="20"/>
          <w:szCs w:val="20"/>
          <w:lang w:val="en-GB"/>
        </w:rPr>
        <w:t>22.</w:t>
      </w:r>
    </w:p>
    <w:p w:rsidR="00D13D1B" w:rsidRPr="004742FB" w:rsidRDefault="00D13D1B" w:rsidP="004E19E8">
      <w:pPr>
        <w:rPr>
          <w:rFonts w:cs="Arial"/>
          <w:sz w:val="20"/>
          <w:szCs w:val="20"/>
          <w:lang w:val="en-GB"/>
        </w:rPr>
      </w:pPr>
    </w:p>
    <w:p w:rsidR="00D13D1B" w:rsidRPr="004742FB" w:rsidRDefault="004F6D77" w:rsidP="004E19E8">
      <w:pPr>
        <w:rPr>
          <w:rFonts w:cs="Arial"/>
          <w:sz w:val="20"/>
          <w:szCs w:val="20"/>
          <w:lang w:val="en-GB"/>
        </w:rPr>
      </w:pPr>
      <w:r>
        <w:rPr>
          <w:rFonts w:cs="Arial"/>
          <w:sz w:val="20"/>
          <w:szCs w:val="20"/>
          <w:lang w:val="en-GB"/>
        </w:rPr>
        <w:t xml:space="preserve">At </w:t>
      </w:r>
      <w:r w:rsidR="00594B9B">
        <w:rPr>
          <w:rFonts w:cs="Arial"/>
          <w:sz w:val="20"/>
          <w:szCs w:val="20"/>
          <w:lang w:val="en-GB"/>
        </w:rPr>
        <w:t>more demanding applications, middle and</w:t>
      </w:r>
      <w:r w:rsidR="00F12D67" w:rsidRPr="004742FB">
        <w:rPr>
          <w:rFonts w:cs="Arial"/>
          <w:sz w:val="20"/>
          <w:szCs w:val="20"/>
          <w:lang w:val="en-GB"/>
        </w:rPr>
        <w:t xml:space="preserve"> </w:t>
      </w:r>
      <w:r w:rsidR="00594B9B">
        <w:rPr>
          <w:rFonts w:cs="Arial"/>
          <w:sz w:val="20"/>
          <w:szCs w:val="20"/>
          <w:lang w:val="en-GB"/>
        </w:rPr>
        <w:t xml:space="preserve">high voltage </w:t>
      </w:r>
      <w:r w:rsidR="00106390" w:rsidRPr="004742FB">
        <w:rPr>
          <w:rFonts w:cs="Arial"/>
          <w:sz w:val="20"/>
          <w:szCs w:val="20"/>
          <w:lang w:val="en-GB"/>
        </w:rPr>
        <w:t>m</w:t>
      </w:r>
      <w:r w:rsidR="00594B9B">
        <w:rPr>
          <w:rFonts w:cs="Arial"/>
          <w:sz w:val="20"/>
          <w:szCs w:val="20"/>
          <w:lang w:val="en-GB"/>
        </w:rPr>
        <w:t>otors</w:t>
      </w:r>
      <w:r w:rsidR="00F12D67" w:rsidRPr="004742FB">
        <w:rPr>
          <w:rFonts w:cs="Arial"/>
          <w:sz w:val="20"/>
          <w:szCs w:val="20"/>
          <w:lang w:val="en-GB"/>
        </w:rPr>
        <w:t xml:space="preserve"> </w:t>
      </w:r>
      <w:r w:rsidR="00594B9B">
        <w:rPr>
          <w:rFonts w:cs="Arial"/>
          <w:sz w:val="20"/>
          <w:szCs w:val="20"/>
          <w:lang w:val="en-GB"/>
        </w:rPr>
        <w:t xml:space="preserve">of </w:t>
      </w:r>
      <w:r w:rsidR="00332CD5" w:rsidRPr="004742FB">
        <w:rPr>
          <w:rFonts w:cs="Arial"/>
          <w:sz w:val="20"/>
          <w:szCs w:val="20"/>
          <w:lang w:val="en-GB"/>
        </w:rPr>
        <w:t>90</w:t>
      </w:r>
      <w:r w:rsidR="00B80A75" w:rsidRPr="004742FB">
        <w:rPr>
          <w:rFonts w:cs="Arial"/>
          <w:sz w:val="20"/>
          <w:szCs w:val="20"/>
          <w:lang w:val="en-GB"/>
        </w:rPr>
        <w:t xml:space="preserve"> </w:t>
      </w:r>
      <w:r w:rsidR="00594B9B">
        <w:rPr>
          <w:rFonts w:cs="Arial"/>
          <w:sz w:val="20"/>
          <w:szCs w:val="20"/>
          <w:lang w:val="en-GB"/>
        </w:rPr>
        <w:t>up to</w:t>
      </w:r>
      <w:r w:rsidR="00B80A75" w:rsidRPr="004742FB">
        <w:rPr>
          <w:rFonts w:cs="Arial"/>
          <w:sz w:val="20"/>
          <w:szCs w:val="20"/>
          <w:lang w:val="en-GB"/>
        </w:rPr>
        <w:t xml:space="preserve"> </w:t>
      </w:r>
      <w:r w:rsidR="00106390" w:rsidRPr="004742FB">
        <w:rPr>
          <w:rFonts w:cs="Arial"/>
          <w:sz w:val="20"/>
          <w:szCs w:val="20"/>
          <w:lang w:val="en-GB"/>
        </w:rPr>
        <w:t>4500</w:t>
      </w:r>
      <w:r w:rsidR="00F12D67" w:rsidRPr="004742FB">
        <w:rPr>
          <w:rFonts w:cs="Arial"/>
          <w:sz w:val="20"/>
          <w:szCs w:val="20"/>
          <w:lang w:val="en-GB"/>
        </w:rPr>
        <w:t xml:space="preserve"> kW </w:t>
      </w:r>
      <w:r w:rsidR="00594B9B">
        <w:rPr>
          <w:rFonts w:cs="Arial"/>
          <w:sz w:val="20"/>
          <w:szCs w:val="20"/>
          <w:lang w:val="en-GB"/>
        </w:rPr>
        <w:t>fo</w:t>
      </w:r>
      <w:r w:rsidR="00106390" w:rsidRPr="004742FB">
        <w:rPr>
          <w:rFonts w:cs="Arial"/>
          <w:sz w:val="20"/>
          <w:szCs w:val="20"/>
          <w:lang w:val="en-GB"/>
        </w:rPr>
        <w:t xml:space="preserve">r </w:t>
      </w:r>
      <w:r w:rsidR="00594B9B">
        <w:rPr>
          <w:rFonts w:cs="Arial"/>
          <w:sz w:val="20"/>
          <w:szCs w:val="20"/>
          <w:lang w:val="en-GB"/>
        </w:rPr>
        <w:t>nearly</w:t>
      </w:r>
      <w:r w:rsidR="0070718E" w:rsidRPr="004742FB">
        <w:rPr>
          <w:rFonts w:cs="Arial"/>
          <w:sz w:val="20"/>
          <w:szCs w:val="20"/>
          <w:lang w:val="en-GB"/>
        </w:rPr>
        <w:t xml:space="preserve"> </w:t>
      </w:r>
      <w:r w:rsidR="009F4163">
        <w:rPr>
          <w:rFonts w:cs="Arial"/>
          <w:sz w:val="20"/>
          <w:szCs w:val="20"/>
          <w:lang w:val="en-GB"/>
        </w:rPr>
        <w:t xml:space="preserve">all </w:t>
      </w:r>
      <w:r w:rsidR="009F4163" w:rsidRPr="004742FB">
        <w:rPr>
          <w:rFonts w:cs="Arial"/>
          <w:sz w:val="20"/>
          <w:szCs w:val="20"/>
          <w:lang w:val="en-GB"/>
        </w:rPr>
        <w:t>categories</w:t>
      </w:r>
      <w:r w:rsidR="0070718E" w:rsidRPr="004742FB">
        <w:rPr>
          <w:rFonts w:cs="Arial"/>
          <w:sz w:val="20"/>
          <w:szCs w:val="20"/>
          <w:lang w:val="en-GB"/>
        </w:rPr>
        <w:t xml:space="preserve"> </w:t>
      </w:r>
      <w:r w:rsidR="00EB0C81">
        <w:rPr>
          <w:rFonts w:cs="Arial"/>
          <w:sz w:val="20"/>
          <w:szCs w:val="20"/>
          <w:lang w:val="en-GB"/>
        </w:rPr>
        <w:t>are deployed</w:t>
      </w:r>
      <w:r w:rsidR="0083117E" w:rsidRPr="004742FB">
        <w:rPr>
          <w:rFonts w:cs="Arial"/>
          <w:sz w:val="20"/>
          <w:szCs w:val="20"/>
          <w:lang w:val="en-GB"/>
        </w:rPr>
        <w:t>.</w:t>
      </w:r>
      <w:r w:rsidR="00AD048D" w:rsidRPr="004742FB">
        <w:rPr>
          <w:rFonts w:cs="Arial"/>
          <w:sz w:val="20"/>
          <w:szCs w:val="20"/>
          <w:lang w:val="en-GB"/>
        </w:rPr>
        <w:t xml:space="preserve"> </w:t>
      </w:r>
      <w:r w:rsidR="000C6AF9">
        <w:rPr>
          <w:rFonts w:cs="Arial"/>
          <w:sz w:val="20"/>
          <w:szCs w:val="20"/>
          <w:lang w:val="en-GB"/>
        </w:rPr>
        <w:t xml:space="preserve">The sizes </w:t>
      </w:r>
      <w:r w:rsidR="00B80A75" w:rsidRPr="004742FB">
        <w:rPr>
          <w:rFonts w:cs="Arial"/>
          <w:sz w:val="20"/>
          <w:szCs w:val="20"/>
          <w:lang w:val="en-GB"/>
        </w:rPr>
        <w:t xml:space="preserve">560 </w:t>
      </w:r>
      <w:r w:rsidR="000C6AF9">
        <w:rPr>
          <w:rFonts w:cs="Arial"/>
          <w:sz w:val="20"/>
          <w:szCs w:val="20"/>
          <w:lang w:val="en-GB"/>
        </w:rPr>
        <w:t>up to</w:t>
      </w:r>
      <w:r w:rsidR="00B80A75" w:rsidRPr="004742FB">
        <w:rPr>
          <w:rFonts w:cs="Arial"/>
          <w:sz w:val="20"/>
          <w:szCs w:val="20"/>
          <w:lang w:val="en-GB"/>
        </w:rPr>
        <w:t xml:space="preserve"> 710 </w:t>
      </w:r>
      <w:r w:rsidR="000C6AF9">
        <w:rPr>
          <w:rFonts w:cs="Arial"/>
          <w:sz w:val="20"/>
          <w:szCs w:val="20"/>
          <w:lang w:val="en-GB"/>
        </w:rPr>
        <w:t xml:space="preserve">are not designed in the usual </w:t>
      </w:r>
      <w:r w:rsidR="00DF0A5D">
        <w:rPr>
          <w:rFonts w:cs="Arial"/>
          <w:sz w:val="20"/>
          <w:szCs w:val="20"/>
          <w:lang w:val="en-GB"/>
        </w:rPr>
        <w:t>fin</w:t>
      </w:r>
      <w:r w:rsidR="002A7B26">
        <w:rPr>
          <w:rFonts w:cs="Arial"/>
          <w:sz w:val="20"/>
          <w:szCs w:val="20"/>
          <w:lang w:val="en-GB"/>
        </w:rPr>
        <w:t xml:space="preserve">-cooled design </w:t>
      </w:r>
      <w:r w:rsidR="00AD048D" w:rsidRPr="004742FB">
        <w:rPr>
          <w:rFonts w:cs="Arial"/>
          <w:sz w:val="20"/>
          <w:szCs w:val="20"/>
          <w:lang w:val="en-GB"/>
        </w:rPr>
        <w:t>(IC411)</w:t>
      </w:r>
      <w:r w:rsidR="00B80A75" w:rsidRPr="004742FB">
        <w:rPr>
          <w:rFonts w:cs="Arial"/>
          <w:sz w:val="20"/>
          <w:szCs w:val="20"/>
          <w:lang w:val="en-GB"/>
        </w:rPr>
        <w:t xml:space="preserve"> </w:t>
      </w:r>
      <w:r w:rsidR="000C6AF9">
        <w:rPr>
          <w:rFonts w:cs="Arial"/>
          <w:sz w:val="20"/>
          <w:szCs w:val="20"/>
          <w:lang w:val="en-GB"/>
        </w:rPr>
        <w:t>but as</w:t>
      </w:r>
      <w:r w:rsidR="00B80A75" w:rsidRPr="004742FB">
        <w:rPr>
          <w:rFonts w:cs="Arial"/>
          <w:sz w:val="20"/>
          <w:szCs w:val="20"/>
          <w:lang w:val="en-GB"/>
        </w:rPr>
        <w:t xml:space="preserve"> </w:t>
      </w:r>
      <w:r w:rsidR="000C6AF9">
        <w:rPr>
          <w:rFonts w:cs="Arial"/>
          <w:sz w:val="20"/>
          <w:szCs w:val="20"/>
          <w:lang w:val="en-GB"/>
        </w:rPr>
        <w:t>pipe-cooled</w:t>
      </w:r>
      <w:r w:rsidR="00AD048D" w:rsidRPr="004742FB">
        <w:rPr>
          <w:rFonts w:cs="Arial"/>
          <w:sz w:val="20"/>
          <w:szCs w:val="20"/>
          <w:lang w:val="en-GB"/>
        </w:rPr>
        <w:t xml:space="preserve"> (IC511)</w:t>
      </w:r>
      <w:r w:rsidR="000C6AF9">
        <w:rPr>
          <w:rFonts w:cs="Arial"/>
          <w:sz w:val="20"/>
          <w:szCs w:val="20"/>
          <w:lang w:val="en-GB"/>
        </w:rPr>
        <w:t xml:space="preserve"> Ex motors</w:t>
      </w:r>
      <w:r w:rsidR="004614D2">
        <w:rPr>
          <w:rFonts w:cs="Arial"/>
          <w:sz w:val="20"/>
          <w:szCs w:val="20"/>
          <w:lang w:val="en-GB"/>
        </w:rPr>
        <w:t xml:space="preserve"> (see picture 2)</w:t>
      </w:r>
      <w:bookmarkStart w:id="0" w:name="_GoBack"/>
      <w:bookmarkEnd w:id="0"/>
      <w:r w:rsidR="00AD048D" w:rsidRPr="004742FB">
        <w:rPr>
          <w:rFonts w:cs="Arial"/>
          <w:sz w:val="20"/>
          <w:szCs w:val="20"/>
          <w:lang w:val="en-GB"/>
        </w:rPr>
        <w:t>.</w:t>
      </w:r>
    </w:p>
    <w:p w:rsidR="00576C22" w:rsidRPr="004742FB" w:rsidRDefault="00576C22" w:rsidP="004E19E8">
      <w:pPr>
        <w:rPr>
          <w:rFonts w:cs="Arial"/>
          <w:sz w:val="20"/>
          <w:szCs w:val="20"/>
          <w:lang w:val="en-GB"/>
        </w:rPr>
      </w:pPr>
      <w:r w:rsidRPr="004742FB">
        <w:rPr>
          <w:rFonts w:cs="Arial"/>
          <w:sz w:val="20"/>
          <w:szCs w:val="20"/>
          <w:lang w:val="en-GB"/>
        </w:rPr>
        <w:t xml:space="preserve">WEG </w:t>
      </w:r>
      <w:r w:rsidR="002A7B26">
        <w:rPr>
          <w:rFonts w:cs="Arial"/>
          <w:sz w:val="20"/>
          <w:szCs w:val="20"/>
          <w:lang w:val="en-GB"/>
        </w:rPr>
        <w:t xml:space="preserve">is also able to deliver </w:t>
      </w:r>
      <w:r w:rsidR="009F4163">
        <w:rPr>
          <w:rFonts w:cs="Arial"/>
          <w:sz w:val="20"/>
          <w:szCs w:val="20"/>
          <w:lang w:val="en-GB"/>
        </w:rPr>
        <w:t>explosion-protected</w:t>
      </w:r>
      <w:r w:rsidRPr="004742FB">
        <w:rPr>
          <w:rFonts w:cs="Arial"/>
          <w:sz w:val="20"/>
          <w:szCs w:val="20"/>
          <w:lang w:val="en-GB"/>
        </w:rPr>
        <w:t xml:space="preserve"> </w:t>
      </w:r>
      <w:r w:rsidR="005C59A8">
        <w:rPr>
          <w:rFonts w:cs="Arial"/>
          <w:sz w:val="20"/>
          <w:szCs w:val="20"/>
          <w:lang w:val="en-GB"/>
        </w:rPr>
        <w:t>motors</w:t>
      </w:r>
      <w:r w:rsidRPr="004742FB">
        <w:rPr>
          <w:rFonts w:cs="Arial"/>
          <w:sz w:val="20"/>
          <w:szCs w:val="20"/>
          <w:lang w:val="en-GB"/>
        </w:rPr>
        <w:t xml:space="preserve"> </w:t>
      </w:r>
      <w:r w:rsidR="005C59A8">
        <w:rPr>
          <w:rFonts w:cs="Arial"/>
          <w:sz w:val="20"/>
          <w:szCs w:val="20"/>
          <w:lang w:val="en-GB"/>
        </w:rPr>
        <w:t>up to</w:t>
      </w:r>
      <w:r w:rsidRPr="004742FB">
        <w:rPr>
          <w:rFonts w:cs="Arial"/>
          <w:sz w:val="20"/>
          <w:szCs w:val="20"/>
          <w:lang w:val="en-GB"/>
        </w:rPr>
        <w:t xml:space="preserve"> 40</w:t>
      </w:r>
      <w:r w:rsidR="00FD2320" w:rsidRPr="004742FB">
        <w:rPr>
          <w:rFonts w:cs="Arial"/>
          <w:sz w:val="20"/>
          <w:szCs w:val="20"/>
          <w:lang w:val="en-GB"/>
        </w:rPr>
        <w:t xml:space="preserve"> </w:t>
      </w:r>
      <w:r w:rsidRPr="004742FB">
        <w:rPr>
          <w:rFonts w:cs="Arial"/>
          <w:sz w:val="20"/>
          <w:szCs w:val="20"/>
          <w:lang w:val="en-GB"/>
        </w:rPr>
        <w:t>MW.</w:t>
      </w:r>
    </w:p>
    <w:p w:rsidR="00FD38FC" w:rsidRPr="004742FB" w:rsidRDefault="00FD38FC" w:rsidP="004E19E8">
      <w:pPr>
        <w:rPr>
          <w:rFonts w:cs="Arial"/>
          <w:sz w:val="20"/>
          <w:szCs w:val="20"/>
          <w:lang w:val="en-GB"/>
        </w:rPr>
      </w:pPr>
    </w:p>
    <w:tbl>
      <w:tblPr>
        <w:tblW w:w="5000" w:type="pct"/>
        <w:tblLayout w:type="fixed"/>
        <w:tblCellMar>
          <w:left w:w="70" w:type="dxa"/>
          <w:right w:w="70" w:type="dxa"/>
        </w:tblCellMar>
        <w:tblLook w:val="04A0" w:firstRow="1" w:lastRow="0" w:firstColumn="1" w:lastColumn="0" w:noHBand="0" w:noVBand="1"/>
      </w:tblPr>
      <w:tblGrid>
        <w:gridCol w:w="1867"/>
        <w:gridCol w:w="1604"/>
        <w:gridCol w:w="710"/>
        <w:gridCol w:w="851"/>
        <w:gridCol w:w="1701"/>
        <w:gridCol w:w="1480"/>
        <w:gridCol w:w="1678"/>
      </w:tblGrid>
      <w:tr w:rsidR="00FD38FC" w:rsidRPr="004614D2" w:rsidTr="00AB72EF">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38FC" w:rsidRPr="004742FB" w:rsidRDefault="00281545" w:rsidP="007D3F17">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Produ</w:t>
            </w:r>
            <w:r w:rsidR="007F0849">
              <w:rPr>
                <w:rFonts w:ascii="Calibri" w:hAnsi="Calibri" w:cs="Calibri"/>
                <w:color w:val="000000"/>
                <w:szCs w:val="22"/>
                <w:lang w:val="en-GB" w:eastAsia="de-AT"/>
              </w:rPr>
              <w:t>c</w:t>
            </w:r>
            <w:r w:rsidRPr="004742FB">
              <w:rPr>
                <w:rFonts w:ascii="Calibri" w:hAnsi="Calibri" w:cs="Calibri"/>
                <w:color w:val="000000"/>
                <w:szCs w:val="22"/>
                <w:lang w:val="en-GB" w:eastAsia="de-AT"/>
              </w:rPr>
              <w:t>t</w:t>
            </w:r>
            <w:r w:rsidR="007F0849">
              <w:rPr>
                <w:rFonts w:ascii="Calibri" w:hAnsi="Calibri" w:cs="Calibri"/>
                <w:color w:val="000000"/>
                <w:szCs w:val="22"/>
                <w:lang w:val="en-GB" w:eastAsia="de-AT"/>
              </w:rPr>
              <w:t xml:space="preserve"> </w:t>
            </w:r>
            <w:r w:rsidR="008F5AEB">
              <w:rPr>
                <w:rFonts w:ascii="Calibri" w:hAnsi="Calibri" w:cs="Calibri"/>
                <w:color w:val="000000"/>
                <w:szCs w:val="22"/>
                <w:lang w:val="en-GB" w:eastAsia="de-AT"/>
              </w:rPr>
              <w:t>overview</w:t>
            </w:r>
            <w:r w:rsidRPr="004742FB">
              <w:rPr>
                <w:rFonts w:ascii="Calibri" w:hAnsi="Calibri" w:cs="Calibri"/>
                <w:color w:val="000000"/>
                <w:szCs w:val="22"/>
                <w:lang w:val="en-GB" w:eastAsia="de-AT"/>
              </w:rPr>
              <w:t xml:space="preserve"> </w:t>
            </w:r>
            <w:r w:rsidR="007F0849">
              <w:rPr>
                <w:rFonts w:ascii="Calibri" w:hAnsi="Calibri" w:cs="Calibri"/>
                <w:color w:val="000000"/>
                <w:szCs w:val="22"/>
                <w:lang w:val="en-GB" w:eastAsia="de-AT"/>
              </w:rPr>
              <w:t xml:space="preserve">of </w:t>
            </w:r>
            <w:r w:rsidRPr="004742FB">
              <w:rPr>
                <w:rFonts w:ascii="Calibri" w:hAnsi="Calibri" w:cs="Calibri"/>
                <w:color w:val="000000"/>
                <w:szCs w:val="22"/>
                <w:lang w:val="en-GB" w:eastAsia="de-AT"/>
              </w:rPr>
              <w:t>explosion</w:t>
            </w:r>
            <w:r w:rsidR="007F0849">
              <w:rPr>
                <w:rFonts w:ascii="Calibri" w:hAnsi="Calibri" w:cs="Calibri"/>
                <w:color w:val="000000"/>
                <w:szCs w:val="22"/>
                <w:lang w:val="en-GB" w:eastAsia="de-AT"/>
              </w:rPr>
              <w:t xml:space="preserve"> protected</w:t>
            </w:r>
            <w:r w:rsidRPr="004742FB">
              <w:rPr>
                <w:rFonts w:ascii="Calibri" w:hAnsi="Calibri" w:cs="Calibri"/>
                <w:color w:val="000000"/>
                <w:szCs w:val="22"/>
                <w:lang w:val="en-GB" w:eastAsia="de-AT"/>
              </w:rPr>
              <w:t xml:space="preserve"> </w:t>
            </w:r>
            <w:r w:rsidR="00A17599" w:rsidRPr="004742FB">
              <w:rPr>
                <w:rFonts w:ascii="Calibri" w:hAnsi="Calibri" w:cs="Calibri"/>
                <w:color w:val="000000"/>
                <w:szCs w:val="22"/>
                <w:lang w:val="en-GB" w:eastAsia="de-AT"/>
              </w:rPr>
              <w:t xml:space="preserve">WEG </w:t>
            </w:r>
            <w:r w:rsidR="007F0849">
              <w:rPr>
                <w:rFonts w:ascii="Calibri" w:hAnsi="Calibri" w:cs="Calibri"/>
                <w:color w:val="000000"/>
                <w:szCs w:val="22"/>
                <w:lang w:val="en-GB" w:eastAsia="de-AT"/>
              </w:rPr>
              <w:t>m</w:t>
            </w:r>
            <w:r w:rsidRPr="004742FB">
              <w:rPr>
                <w:rFonts w:ascii="Calibri" w:hAnsi="Calibri" w:cs="Calibri"/>
                <w:color w:val="000000"/>
                <w:szCs w:val="22"/>
                <w:lang w:val="en-GB" w:eastAsia="de-AT"/>
              </w:rPr>
              <w:t>otor</w:t>
            </w:r>
            <w:r w:rsidR="007F0849">
              <w:rPr>
                <w:rFonts w:ascii="Calibri" w:hAnsi="Calibri" w:cs="Calibri"/>
                <w:color w:val="000000"/>
                <w:szCs w:val="22"/>
                <w:lang w:val="en-GB" w:eastAsia="de-AT"/>
              </w:rPr>
              <w:t>s</w:t>
            </w:r>
          </w:p>
        </w:tc>
      </w:tr>
      <w:tr w:rsidR="005E181B" w:rsidRPr="004742FB" w:rsidTr="009D0B5A">
        <w:trPr>
          <w:trHeight w:val="300"/>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FD38FC" w:rsidRPr="004742FB" w:rsidRDefault="007F0849" w:rsidP="007F0849">
            <w:pPr>
              <w:jc w:val="center"/>
              <w:rPr>
                <w:rFonts w:ascii="Calibri" w:hAnsi="Calibri" w:cs="Calibri"/>
                <w:color w:val="000000"/>
                <w:szCs w:val="22"/>
                <w:lang w:val="en-GB" w:eastAsia="de-AT"/>
              </w:rPr>
            </w:pPr>
            <w:r>
              <w:rPr>
                <w:rFonts w:ascii="Calibri" w:hAnsi="Calibri" w:cs="Calibri"/>
                <w:color w:val="000000"/>
                <w:szCs w:val="22"/>
                <w:lang w:val="en-GB" w:eastAsia="de-AT"/>
              </w:rPr>
              <w:t>Voltage range</w:t>
            </w:r>
          </w:p>
        </w:tc>
        <w:tc>
          <w:tcPr>
            <w:tcW w:w="811" w:type="pct"/>
            <w:tcBorders>
              <w:top w:val="nil"/>
              <w:left w:val="nil"/>
              <w:bottom w:val="single" w:sz="4" w:space="0" w:color="auto"/>
              <w:right w:val="single" w:sz="4" w:space="0" w:color="auto"/>
            </w:tcBorders>
            <w:shd w:val="clear" w:color="auto" w:fill="auto"/>
            <w:noWrap/>
            <w:vAlign w:val="center"/>
            <w:hideMark/>
          </w:tcPr>
          <w:p w:rsidR="00FD38FC" w:rsidRPr="004742FB" w:rsidRDefault="007F0849" w:rsidP="00A17599">
            <w:pPr>
              <w:jc w:val="center"/>
              <w:rPr>
                <w:rFonts w:ascii="Calibri" w:hAnsi="Calibri" w:cs="Calibri"/>
                <w:color w:val="000000"/>
                <w:szCs w:val="22"/>
                <w:lang w:val="en-GB" w:eastAsia="de-AT"/>
              </w:rPr>
            </w:pPr>
            <w:r>
              <w:rPr>
                <w:rFonts w:ascii="Calibri" w:hAnsi="Calibri" w:cs="Calibri"/>
                <w:color w:val="000000"/>
                <w:szCs w:val="22"/>
                <w:lang w:val="en-GB" w:eastAsia="de-AT"/>
              </w:rPr>
              <w:t>Power</w:t>
            </w:r>
          </w:p>
        </w:tc>
        <w:tc>
          <w:tcPr>
            <w:tcW w:w="359" w:type="pct"/>
            <w:tcBorders>
              <w:top w:val="nil"/>
              <w:left w:val="nil"/>
              <w:bottom w:val="single" w:sz="4" w:space="0" w:color="auto"/>
              <w:right w:val="single" w:sz="4" w:space="0" w:color="auto"/>
            </w:tcBorders>
            <w:shd w:val="clear" w:color="auto" w:fill="auto"/>
            <w:noWrap/>
            <w:vAlign w:val="center"/>
            <w:hideMark/>
          </w:tcPr>
          <w:p w:rsidR="00FD38FC" w:rsidRPr="004742FB" w:rsidRDefault="00FD38FC" w:rsidP="00A17599">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Zone</w:t>
            </w:r>
          </w:p>
        </w:tc>
        <w:tc>
          <w:tcPr>
            <w:tcW w:w="430" w:type="pct"/>
            <w:tcBorders>
              <w:top w:val="nil"/>
              <w:left w:val="nil"/>
              <w:bottom w:val="single" w:sz="4" w:space="0" w:color="auto"/>
              <w:right w:val="single" w:sz="4" w:space="0" w:color="auto"/>
            </w:tcBorders>
            <w:shd w:val="clear" w:color="auto" w:fill="auto"/>
            <w:noWrap/>
            <w:vAlign w:val="center"/>
            <w:hideMark/>
          </w:tcPr>
          <w:p w:rsidR="00FD38FC" w:rsidRPr="004742FB" w:rsidRDefault="00313E3D" w:rsidP="00A17599">
            <w:pPr>
              <w:jc w:val="center"/>
              <w:rPr>
                <w:rFonts w:ascii="Calibri" w:hAnsi="Calibri" w:cs="Calibri"/>
                <w:color w:val="000000"/>
                <w:szCs w:val="22"/>
                <w:lang w:val="en-GB" w:eastAsia="de-AT"/>
              </w:rPr>
            </w:pPr>
            <w:r>
              <w:rPr>
                <w:rFonts w:ascii="Calibri" w:hAnsi="Calibri" w:cs="Calibri"/>
                <w:color w:val="000000"/>
                <w:szCs w:val="22"/>
                <w:lang w:val="en-GB" w:eastAsia="de-AT"/>
              </w:rPr>
              <w:t>Group</w:t>
            </w:r>
          </w:p>
        </w:tc>
        <w:tc>
          <w:tcPr>
            <w:tcW w:w="860" w:type="pct"/>
            <w:tcBorders>
              <w:top w:val="nil"/>
              <w:left w:val="nil"/>
              <w:bottom w:val="single" w:sz="4" w:space="0" w:color="auto"/>
              <w:right w:val="single" w:sz="4" w:space="0" w:color="auto"/>
            </w:tcBorders>
            <w:shd w:val="clear" w:color="auto" w:fill="auto"/>
            <w:noWrap/>
            <w:vAlign w:val="center"/>
            <w:hideMark/>
          </w:tcPr>
          <w:p w:rsidR="00FD38FC" w:rsidRPr="004742FB" w:rsidRDefault="007F0849" w:rsidP="00A17599">
            <w:pPr>
              <w:jc w:val="center"/>
              <w:rPr>
                <w:rFonts w:ascii="Calibri" w:hAnsi="Calibri" w:cs="Calibri"/>
                <w:color w:val="000000"/>
                <w:szCs w:val="22"/>
                <w:lang w:val="en-GB" w:eastAsia="de-AT"/>
              </w:rPr>
            </w:pPr>
            <w:r>
              <w:rPr>
                <w:rFonts w:ascii="Calibri" w:hAnsi="Calibri" w:cs="Calibri"/>
                <w:color w:val="000000"/>
                <w:szCs w:val="22"/>
                <w:lang w:val="en-GB" w:eastAsia="de-AT"/>
              </w:rPr>
              <w:t>Ignition protection type</w:t>
            </w:r>
          </w:p>
        </w:tc>
        <w:tc>
          <w:tcPr>
            <w:tcW w:w="748" w:type="pct"/>
            <w:tcBorders>
              <w:top w:val="nil"/>
              <w:left w:val="nil"/>
              <w:bottom w:val="single" w:sz="4" w:space="0" w:color="auto"/>
              <w:right w:val="single" w:sz="4" w:space="0" w:color="auto"/>
            </w:tcBorders>
            <w:shd w:val="clear" w:color="auto" w:fill="auto"/>
            <w:noWrap/>
            <w:vAlign w:val="center"/>
            <w:hideMark/>
          </w:tcPr>
          <w:p w:rsidR="00FD38FC" w:rsidRPr="004742FB" w:rsidRDefault="007F0849" w:rsidP="00FD38FC">
            <w:pPr>
              <w:jc w:val="center"/>
              <w:rPr>
                <w:rFonts w:ascii="Calibri" w:hAnsi="Calibri" w:cs="Calibri"/>
                <w:color w:val="000000"/>
                <w:szCs w:val="22"/>
                <w:lang w:val="en-GB" w:eastAsia="de-AT"/>
              </w:rPr>
            </w:pPr>
            <w:r>
              <w:rPr>
                <w:rFonts w:ascii="Calibri" w:hAnsi="Calibri" w:cs="Calibri"/>
                <w:color w:val="000000"/>
                <w:szCs w:val="22"/>
                <w:lang w:val="en-GB" w:eastAsia="de-AT"/>
              </w:rPr>
              <w:t>Po</w:t>
            </w:r>
            <w:r w:rsidR="00FD38FC" w:rsidRPr="004742FB">
              <w:rPr>
                <w:rFonts w:ascii="Calibri" w:hAnsi="Calibri" w:cs="Calibri"/>
                <w:color w:val="000000"/>
                <w:szCs w:val="22"/>
                <w:lang w:val="en-GB" w:eastAsia="de-AT"/>
              </w:rPr>
              <w:t>l</w:t>
            </w:r>
            <w:r>
              <w:rPr>
                <w:rFonts w:ascii="Calibri" w:hAnsi="Calibri" w:cs="Calibri"/>
                <w:color w:val="000000"/>
                <w:szCs w:val="22"/>
                <w:lang w:val="en-GB" w:eastAsia="de-AT"/>
              </w:rPr>
              <w:t>e Number</w:t>
            </w:r>
          </w:p>
        </w:tc>
        <w:tc>
          <w:tcPr>
            <w:tcW w:w="848" w:type="pct"/>
            <w:tcBorders>
              <w:top w:val="nil"/>
              <w:left w:val="nil"/>
              <w:bottom w:val="single" w:sz="4" w:space="0" w:color="auto"/>
              <w:right w:val="single" w:sz="4" w:space="0" w:color="auto"/>
            </w:tcBorders>
            <w:shd w:val="clear" w:color="auto" w:fill="auto"/>
            <w:noWrap/>
            <w:vAlign w:val="center"/>
            <w:hideMark/>
          </w:tcPr>
          <w:p w:rsidR="00FD38FC" w:rsidRPr="004742FB" w:rsidRDefault="00FD38FC" w:rsidP="005E181B">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Temperatur</w:t>
            </w:r>
            <w:r w:rsidR="005E181B">
              <w:rPr>
                <w:rFonts w:ascii="Calibri" w:hAnsi="Calibri" w:cs="Calibri"/>
                <w:color w:val="000000"/>
                <w:szCs w:val="22"/>
                <w:lang w:val="en-GB" w:eastAsia="de-AT"/>
              </w:rPr>
              <w:t>e class</w:t>
            </w:r>
          </w:p>
        </w:tc>
      </w:tr>
      <w:tr w:rsidR="005E181B" w:rsidRPr="004742FB" w:rsidTr="009D0B5A">
        <w:trPr>
          <w:trHeight w:val="300"/>
        </w:trPr>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4E5" w:rsidRPr="004742FB" w:rsidRDefault="002E34E5" w:rsidP="00C202FE">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 xml:space="preserve">Un ≤ </w:t>
            </w:r>
            <w:r w:rsidR="00C202FE" w:rsidRPr="004742FB">
              <w:rPr>
                <w:rFonts w:ascii="Calibri" w:hAnsi="Calibri" w:cs="Calibri"/>
                <w:color w:val="000000"/>
                <w:szCs w:val="22"/>
                <w:lang w:val="en-GB" w:eastAsia="de-AT"/>
              </w:rPr>
              <w:t>690</w:t>
            </w:r>
            <w:r w:rsidRPr="004742FB">
              <w:rPr>
                <w:rFonts w:ascii="Calibri" w:hAnsi="Calibri" w:cs="Calibri"/>
                <w:color w:val="000000"/>
                <w:szCs w:val="22"/>
                <w:lang w:val="en-GB" w:eastAsia="de-AT"/>
              </w:rPr>
              <w:t xml:space="preserve"> V</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2E34E5" w:rsidRPr="004742FB" w:rsidRDefault="007353D5" w:rsidP="002E34E5">
            <w:pPr>
              <w:jc w:val="center"/>
              <w:rPr>
                <w:rFonts w:ascii="Calibri" w:hAnsi="Calibri" w:cs="Calibri"/>
                <w:color w:val="000000"/>
                <w:szCs w:val="22"/>
                <w:lang w:val="en-GB" w:eastAsia="de-AT"/>
              </w:rPr>
            </w:pPr>
            <w:r>
              <w:rPr>
                <w:rFonts w:ascii="Calibri" w:hAnsi="Calibri" w:cs="Calibri"/>
                <w:color w:val="000000"/>
                <w:szCs w:val="22"/>
                <w:lang w:val="en-GB" w:eastAsia="de-AT"/>
              </w:rPr>
              <w:t>0.</w:t>
            </w:r>
            <w:r w:rsidR="002E34E5" w:rsidRPr="004742FB">
              <w:rPr>
                <w:rFonts w:ascii="Calibri" w:hAnsi="Calibri" w:cs="Calibri"/>
                <w:color w:val="000000"/>
                <w:szCs w:val="22"/>
                <w:lang w:val="en-GB" w:eastAsia="de-AT"/>
              </w:rPr>
              <w:t xml:space="preserve">12 </w:t>
            </w:r>
            <w:r w:rsidR="00992F41" w:rsidRPr="004742FB">
              <w:rPr>
                <w:rFonts w:ascii="Calibri" w:hAnsi="Calibri" w:cs="Calibri"/>
                <w:color w:val="000000"/>
                <w:szCs w:val="22"/>
                <w:lang w:val="en-GB" w:eastAsia="de-AT"/>
              </w:rPr>
              <w:t>-</w:t>
            </w:r>
            <w:r w:rsidR="002E34E5" w:rsidRPr="004742FB">
              <w:rPr>
                <w:rFonts w:ascii="Calibri" w:hAnsi="Calibri" w:cs="Calibri"/>
                <w:color w:val="000000"/>
                <w:szCs w:val="22"/>
                <w:lang w:val="en-GB" w:eastAsia="de-AT"/>
              </w:rPr>
              <w:t xml:space="preserve"> 450 kW</w:t>
            </w:r>
          </w:p>
        </w:tc>
        <w:tc>
          <w:tcPr>
            <w:tcW w:w="359" w:type="pct"/>
            <w:tcBorders>
              <w:top w:val="single" w:sz="4" w:space="0" w:color="auto"/>
              <w:left w:val="nil"/>
              <w:bottom w:val="single" w:sz="4" w:space="0" w:color="auto"/>
              <w:right w:val="single" w:sz="4" w:space="0" w:color="auto"/>
            </w:tcBorders>
            <w:shd w:val="clear" w:color="auto" w:fill="auto"/>
            <w:noWrap/>
            <w:vAlign w:val="center"/>
          </w:tcPr>
          <w:p w:rsidR="002E34E5" w:rsidRPr="004742FB" w:rsidRDefault="002E34E5" w:rsidP="00AD048D">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2, 22</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IIA, IIB, IIC</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Ex nA, EX tc</w:t>
            </w:r>
          </w:p>
        </w:tc>
        <w:tc>
          <w:tcPr>
            <w:tcW w:w="748" w:type="pct"/>
            <w:vMerge w:val="restart"/>
            <w:tcBorders>
              <w:top w:val="single" w:sz="4" w:space="0" w:color="auto"/>
              <w:left w:val="nil"/>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2</w:t>
            </w:r>
          </w:p>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4</w:t>
            </w:r>
          </w:p>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6</w:t>
            </w:r>
          </w:p>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8</w:t>
            </w:r>
          </w:p>
        </w:tc>
        <w:tc>
          <w:tcPr>
            <w:tcW w:w="848" w:type="pct"/>
            <w:vMerge w:val="restart"/>
            <w:tcBorders>
              <w:top w:val="single" w:sz="4" w:space="0" w:color="auto"/>
              <w:left w:val="nil"/>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T1 450°C</w:t>
            </w:r>
          </w:p>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T2 300°C</w:t>
            </w:r>
          </w:p>
          <w:p w:rsidR="002E34E5" w:rsidRPr="004742FB" w:rsidRDefault="002E34E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T3 200°C</w:t>
            </w:r>
          </w:p>
          <w:p w:rsidR="002E34E5" w:rsidRPr="004742FB" w:rsidRDefault="00566D13" w:rsidP="00FD38FC">
            <w:pPr>
              <w:jc w:val="center"/>
              <w:rPr>
                <w:rFonts w:ascii="Calibri" w:hAnsi="Calibri" w:cs="Calibri"/>
                <w:color w:val="000000"/>
                <w:szCs w:val="22"/>
                <w:lang w:val="en-GB" w:eastAsia="de-AT"/>
              </w:rPr>
            </w:pPr>
            <w:r>
              <w:rPr>
                <w:rFonts w:ascii="Calibri" w:hAnsi="Calibri" w:cs="Calibri"/>
                <w:color w:val="000000"/>
                <w:szCs w:val="22"/>
                <w:lang w:val="en-GB" w:eastAsia="de-AT"/>
              </w:rPr>
              <w:t xml:space="preserve"> </w:t>
            </w:r>
            <w:r w:rsidR="002E34E5" w:rsidRPr="004742FB">
              <w:rPr>
                <w:rFonts w:ascii="Calibri" w:hAnsi="Calibri" w:cs="Calibri"/>
                <w:color w:val="000000"/>
                <w:szCs w:val="22"/>
                <w:lang w:val="en-GB" w:eastAsia="de-AT"/>
              </w:rPr>
              <w:t>T4 135 °C</w:t>
            </w:r>
          </w:p>
        </w:tc>
      </w:tr>
      <w:tr w:rsidR="005E181B" w:rsidRPr="004742FB" w:rsidTr="009D0B5A">
        <w:trPr>
          <w:trHeight w:val="63"/>
        </w:trPr>
        <w:tc>
          <w:tcPr>
            <w:tcW w:w="944" w:type="pct"/>
            <w:tcBorders>
              <w:top w:val="nil"/>
              <w:left w:val="single" w:sz="4" w:space="0" w:color="auto"/>
              <w:bottom w:val="single" w:sz="4" w:space="0" w:color="auto"/>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 w:val="4"/>
                <w:szCs w:val="4"/>
                <w:lang w:val="en-GB" w:eastAsia="de-AT"/>
              </w:rPr>
            </w:pPr>
          </w:p>
        </w:tc>
        <w:tc>
          <w:tcPr>
            <w:tcW w:w="811" w:type="pct"/>
            <w:tcBorders>
              <w:top w:val="nil"/>
              <w:left w:val="nil"/>
              <w:bottom w:val="single" w:sz="4" w:space="0" w:color="auto"/>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 w:val="4"/>
                <w:szCs w:val="4"/>
                <w:lang w:val="en-GB" w:eastAsia="de-AT"/>
              </w:rPr>
            </w:pPr>
          </w:p>
        </w:tc>
        <w:tc>
          <w:tcPr>
            <w:tcW w:w="359" w:type="pct"/>
            <w:tcBorders>
              <w:top w:val="nil"/>
              <w:left w:val="nil"/>
              <w:bottom w:val="single" w:sz="4" w:space="0" w:color="auto"/>
              <w:right w:val="single" w:sz="4" w:space="0" w:color="auto"/>
            </w:tcBorders>
            <w:shd w:val="clear" w:color="auto" w:fill="auto"/>
            <w:noWrap/>
            <w:vAlign w:val="center"/>
          </w:tcPr>
          <w:p w:rsidR="002E34E5" w:rsidRPr="004742FB" w:rsidRDefault="002E34E5" w:rsidP="00AD048D">
            <w:pPr>
              <w:jc w:val="center"/>
              <w:rPr>
                <w:rFonts w:ascii="Calibri" w:hAnsi="Calibri" w:cs="Calibri"/>
                <w:color w:val="000000"/>
                <w:sz w:val="4"/>
                <w:szCs w:val="4"/>
                <w:lang w:val="en-GB" w:eastAsia="de-AT"/>
              </w:rPr>
            </w:pPr>
          </w:p>
        </w:tc>
        <w:tc>
          <w:tcPr>
            <w:tcW w:w="430" w:type="pct"/>
            <w:tcBorders>
              <w:top w:val="nil"/>
              <w:left w:val="nil"/>
              <w:bottom w:val="single" w:sz="4" w:space="0" w:color="auto"/>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 w:val="4"/>
                <w:szCs w:val="4"/>
                <w:lang w:val="en-GB" w:eastAsia="de-AT"/>
              </w:rPr>
            </w:pPr>
          </w:p>
        </w:tc>
        <w:tc>
          <w:tcPr>
            <w:tcW w:w="860" w:type="pct"/>
            <w:tcBorders>
              <w:top w:val="nil"/>
              <w:left w:val="nil"/>
              <w:bottom w:val="single" w:sz="4" w:space="0" w:color="auto"/>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 w:val="4"/>
                <w:szCs w:val="4"/>
                <w:lang w:val="en-GB" w:eastAsia="de-AT"/>
              </w:rPr>
            </w:pPr>
          </w:p>
        </w:tc>
        <w:tc>
          <w:tcPr>
            <w:tcW w:w="748" w:type="pct"/>
            <w:vMerge/>
            <w:tcBorders>
              <w:left w:val="nil"/>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Cs w:val="22"/>
                <w:lang w:val="en-GB" w:eastAsia="de-AT"/>
              </w:rPr>
            </w:pPr>
          </w:p>
        </w:tc>
        <w:tc>
          <w:tcPr>
            <w:tcW w:w="848" w:type="pct"/>
            <w:vMerge/>
            <w:tcBorders>
              <w:left w:val="nil"/>
              <w:right w:val="single" w:sz="4" w:space="0" w:color="auto"/>
            </w:tcBorders>
            <w:shd w:val="clear" w:color="auto" w:fill="auto"/>
            <w:noWrap/>
            <w:vAlign w:val="center"/>
          </w:tcPr>
          <w:p w:rsidR="002E34E5" w:rsidRPr="004742FB" w:rsidRDefault="002E34E5" w:rsidP="00FD38FC">
            <w:pPr>
              <w:jc w:val="center"/>
              <w:rPr>
                <w:rFonts w:ascii="Calibri" w:hAnsi="Calibri" w:cs="Calibri"/>
                <w:color w:val="000000"/>
                <w:szCs w:val="22"/>
                <w:lang w:val="en-GB" w:eastAsia="de-AT"/>
              </w:rPr>
            </w:pPr>
          </w:p>
        </w:tc>
      </w:tr>
      <w:tr w:rsidR="005E181B" w:rsidRPr="004742FB" w:rsidTr="009D0B5A">
        <w:trPr>
          <w:trHeight w:val="300"/>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992F41" w:rsidRPr="004742FB" w:rsidRDefault="00992F41" w:rsidP="00332CD5">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 xml:space="preserve">Un ≤ </w:t>
            </w:r>
            <w:r w:rsidR="00332CD5" w:rsidRPr="004742FB">
              <w:rPr>
                <w:rFonts w:ascii="Calibri" w:hAnsi="Calibri" w:cs="Calibri"/>
                <w:color w:val="000000"/>
                <w:szCs w:val="22"/>
                <w:lang w:val="en-GB" w:eastAsia="de-AT"/>
              </w:rPr>
              <w:t>1100</w:t>
            </w:r>
            <w:r w:rsidRPr="004742FB">
              <w:rPr>
                <w:rFonts w:ascii="Calibri" w:hAnsi="Calibri" w:cs="Calibri"/>
                <w:color w:val="000000"/>
                <w:szCs w:val="22"/>
                <w:lang w:val="en-GB" w:eastAsia="de-AT"/>
              </w:rPr>
              <w:t xml:space="preserve"> V</w:t>
            </w:r>
          </w:p>
        </w:tc>
        <w:tc>
          <w:tcPr>
            <w:tcW w:w="811" w:type="pct"/>
            <w:tcBorders>
              <w:top w:val="nil"/>
              <w:left w:val="nil"/>
              <w:bottom w:val="single" w:sz="4" w:space="0" w:color="auto"/>
              <w:right w:val="single" w:sz="4" w:space="0" w:color="auto"/>
            </w:tcBorders>
            <w:shd w:val="clear" w:color="auto" w:fill="auto"/>
            <w:noWrap/>
            <w:vAlign w:val="center"/>
            <w:hideMark/>
          </w:tcPr>
          <w:p w:rsidR="00992F41" w:rsidRPr="004742FB" w:rsidRDefault="007353D5" w:rsidP="00332CD5">
            <w:pPr>
              <w:jc w:val="center"/>
              <w:rPr>
                <w:rFonts w:ascii="Calibri" w:hAnsi="Calibri" w:cs="Calibri"/>
                <w:color w:val="000000"/>
                <w:szCs w:val="22"/>
                <w:lang w:val="en-GB" w:eastAsia="de-AT"/>
              </w:rPr>
            </w:pPr>
            <w:r>
              <w:rPr>
                <w:rFonts w:ascii="Calibri" w:hAnsi="Calibri" w:cs="Calibri"/>
                <w:color w:val="000000"/>
                <w:szCs w:val="22"/>
                <w:lang w:val="en-GB" w:eastAsia="de-AT"/>
              </w:rPr>
              <w:t>0.</w:t>
            </w:r>
            <w:r w:rsidR="00332CD5" w:rsidRPr="004742FB">
              <w:rPr>
                <w:rFonts w:ascii="Calibri" w:hAnsi="Calibri" w:cs="Calibri"/>
                <w:color w:val="000000"/>
                <w:szCs w:val="22"/>
                <w:lang w:val="en-GB" w:eastAsia="de-AT"/>
              </w:rPr>
              <w:t>12</w:t>
            </w:r>
            <w:r w:rsidR="00992F41" w:rsidRPr="004742FB">
              <w:rPr>
                <w:rFonts w:ascii="Calibri" w:hAnsi="Calibri" w:cs="Calibri"/>
                <w:color w:val="000000"/>
                <w:szCs w:val="22"/>
                <w:lang w:val="en-GB" w:eastAsia="de-AT"/>
              </w:rPr>
              <w:t xml:space="preserve"> - </w:t>
            </w:r>
            <w:r w:rsidR="00332CD5" w:rsidRPr="004742FB">
              <w:rPr>
                <w:rFonts w:ascii="Calibri" w:hAnsi="Calibri" w:cs="Calibri"/>
                <w:color w:val="000000"/>
                <w:szCs w:val="22"/>
                <w:lang w:val="en-GB" w:eastAsia="de-AT"/>
              </w:rPr>
              <w:t>1400</w:t>
            </w:r>
            <w:r w:rsidR="00992F41" w:rsidRPr="004742FB">
              <w:rPr>
                <w:rFonts w:ascii="Calibri" w:hAnsi="Calibri" w:cs="Calibri"/>
                <w:color w:val="000000"/>
                <w:szCs w:val="22"/>
                <w:lang w:val="en-GB" w:eastAsia="de-AT"/>
              </w:rPr>
              <w:t xml:space="preserve"> kW</w:t>
            </w:r>
          </w:p>
        </w:tc>
        <w:tc>
          <w:tcPr>
            <w:tcW w:w="359" w:type="pct"/>
            <w:vMerge w:val="restart"/>
            <w:tcBorders>
              <w:top w:val="nil"/>
              <w:left w:val="nil"/>
              <w:right w:val="single" w:sz="4" w:space="0" w:color="auto"/>
            </w:tcBorders>
            <w:shd w:val="clear" w:color="auto" w:fill="auto"/>
            <w:noWrap/>
            <w:vAlign w:val="center"/>
            <w:hideMark/>
          </w:tcPr>
          <w:p w:rsidR="00992F41" w:rsidRPr="004742FB" w:rsidRDefault="00992F41" w:rsidP="00AD048D">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1, 21</w:t>
            </w:r>
          </w:p>
          <w:p w:rsidR="00992F41" w:rsidRPr="004742FB" w:rsidRDefault="00992F41" w:rsidP="00AD048D">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2, 22</w:t>
            </w:r>
          </w:p>
        </w:tc>
        <w:tc>
          <w:tcPr>
            <w:tcW w:w="430" w:type="pct"/>
            <w:vMerge w:val="restart"/>
            <w:tcBorders>
              <w:top w:val="nil"/>
              <w:left w:val="nil"/>
              <w:right w:val="single" w:sz="4" w:space="0" w:color="auto"/>
            </w:tcBorders>
            <w:shd w:val="clear" w:color="auto" w:fill="auto"/>
            <w:noWrap/>
            <w:vAlign w:val="center"/>
            <w:hideMark/>
          </w:tcPr>
          <w:p w:rsidR="00281545" w:rsidRPr="004742FB" w:rsidRDefault="00281545"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I</w:t>
            </w:r>
          </w:p>
          <w:p w:rsidR="00992F41" w:rsidRPr="004742FB" w:rsidRDefault="00992F41"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IIA</w:t>
            </w:r>
          </w:p>
          <w:p w:rsidR="00992F41" w:rsidRPr="004742FB" w:rsidRDefault="00992F41"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IIB</w:t>
            </w:r>
          </w:p>
          <w:p w:rsidR="00992F41" w:rsidRPr="004742FB" w:rsidRDefault="00992F41"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IIC</w:t>
            </w:r>
          </w:p>
        </w:tc>
        <w:tc>
          <w:tcPr>
            <w:tcW w:w="860" w:type="pct"/>
            <w:vMerge w:val="restart"/>
            <w:tcBorders>
              <w:top w:val="nil"/>
              <w:left w:val="nil"/>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Ex d</w:t>
            </w:r>
          </w:p>
          <w:p w:rsidR="00992F41" w:rsidRPr="004742FB" w:rsidRDefault="00992F41"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Ex de</w:t>
            </w:r>
          </w:p>
          <w:p w:rsidR="00992F41" w:rsidRPr="004742FB" w:rsidRDefault="00992F41" w:rsidP="00AD048D">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Ex nA</w:t>
            </w:r>
          </w:p>
          <w:p w:rsidR="00992F41" w:rsidRPr="004742FB" w:rsidRDefault="00992F41" w:rsidP="00332CD5">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 xml:space="preserve">Ex </w:t>
            </w:r>
            <w:r w:rsidR="00332CD5" w:rsidRPr="004742FB">
              <w:rPr>
                <w:rFonts w:ascii="Calibri" w:hAnsi="Calibri" w:cs="Calibri"/>
                <w:color w:val="000000"/>
                <w:szCs w:val="22"/>
                <w:lang w:val="en-GB" w:eastAsia="de-AT"/>
              </w:rPr>
              <w:t>p</w:t>
            </w:r>
          </w:p>
        </w:tc>
        <w:tc>
          <w:tcPr>
            <w:tcW w:w="748" w:type="pct"/>
            <w:vMerge/>
            <w:tcBorders>
              <w:left w:val="nil"/>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c>
          <w:tcPr>
            <w:tcW w:w="848" w:type="pct"/>
            <w:vMerge/>
            <w:tcBorders>
              <w:left w:val="nil"/>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r>
      <w:tr w:rsidR="005E181B" w:rsidRPr="004742FB" w:rsidTr="009D0B5A">
        <w:trPr>
          <w:trHeight w:val="511"/>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992F41" w:rsidRPr="004742FB" w:rsidRDefault="00C202FE" w:rsidP="00332CD5">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1</w:t>
            </w:r>
            <w:r w:rsidR="00332CD5" w:rsidRPr="004742FB">
              <w:rPr>
                <w:rFonts w:ascii="Calibri" w:hAnsi="Calibri" w:cs="Calibri"/>
                <w:color w:val="000000"/>
                <w:szCs w:val="22"/>
                <w:lang w:val="en-GB" w:eastAsia="de-AT"/>
              </w:rPr>
              <w:t>1</w:t>
            </w:r>
            <w:r w:rsidRPr="004742FB">
              <w:rPr>
                <w:rFonts w:ascii="Calibri" w:hAnsi="Calibri" w:cs="Calibri"/>
                <w:color w:val="000000"/>
                <w:szCs w:val="22"/>
                <w:lang w:val="en-GB" w:eastAsia="de-AT"/>
              </w:rPr>
              <w:t>00 ≤</w:t>
            </w:r>
            <w:r w:rsidR="00992F41" w:rsidRPr="004742FB">
              <w:rPr>
                <w:rFonts w:ascii="Calibri" w:hAnsi="Calibri" w:cs="Calibri"/>
                <w:color w:val="000000"/>
                <w:szCs w:val="22"/>
                <w:lang w:val="en-GB" w:eastAsia="de-AT"/>
              </w:rPr>
              <w:t xml:space="preserve"> Un ≤ 6600 V</w:t>
            </w:r>
          </w:p>
        </w:tc>
        <w:tc>
          <w:tcPr>
            <w:tcW w:w="811" w:type="pct"/>
            <w:tcBorders>
              <w:top w:val="nil"/>
              <w:left w:val="nil"/>
              <w:bottom w:val="single" w:sz="4" w:space="0" w:color="auto"/>
              <w:right w:val="single" w:sz="4" w:space="0" w:color="auto"/>
            </w:tcBorders>
            <w:shd w:val="clear" w:color="auto" w:fill="auto"/>
            <w:noWrap/>
            <w:vAlign w:val="center"/>
            <w:hideMark/>
          </w:tcPr>
          <w:p w:rsidR="00992F41" w:rsidRPr="004742FB" w:rsidRDefault="00332CD5" w:rsidP="00332CD5">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90</w:t>
            </w:r>
            <w:r w:rsidR="00992F41" w:rsidRPr="004742FB">
              <w:rPr>
                <w:rFonts w:ascii="Calibri" w:hAnsi="Calibri" w:cs="Calibri"/>
                <w:color w:val="000000"/>
                <w:szCs w:val="22"/>
                <w:lang w:val="en-GB" w:eastAsia="de-AT"/>
              </w:rPr>
              <w:t xml:space="preserve"> - </w:t>
            </w:r>
            <w:r w:rsidRPr="004742FB">
              <w:rPr>
                <w:rFonts w:ascii="Calibri" w:hAnsi="Calibri" w:cs="Calibri"/>
                <w:color w:val="000000"/>
                <w:szCs w:val="22"/>
                <w:lang w:val="en-GB" w:eastAsia="de-AT"/>
              </w:rPr>
              <w:t>45</w:t>
            </w:r>
            <w:r w:rsidR="00992F41" w:rsidRPr="004742FB">
              <w:rPr>
                <w:rFonts w:ascii="Calibri" w:hAnsi="Calibri" w:cs="Calibri"/>
                <w:color w:val="000000"/>
                <w:szCs w:val="22"/>
                <w:lang w:val="en-GB" w:eastAsia="de-AT"/>
              </w:rPr>
              <w:t>00 kW</w:t>
            </w:r>
          </w:p>
        </w:tc>
        <w:tc>
          <w:tcPr>
            <w:tcW w:w="359" w:type="pct"/>
            <w:vMerge/>
            <w:tcBorders>
              <w:left w:val="nil"/>
              <w:right w:val="single" w:sz="4" w:space="0" w:color="auto"/>
            </w:tcBorders>
            <w:shd w:val="clear" w:color="auto" w:fill="auto"/>
            <w:noWrap/>
            <w:vAlign w:val="center"/>
            <w:hideMark/>
          </w:tcPr>
          <w:p w:rsidR="00992F41" w:rsidRPr="004742FB" w:rsidRDefault="00992F41" w:rsidP="00AD048D">
            <w:pPr>
              <w:jc w:val="center"/>
              <w:rPr>
                <w:rFonts w:ascii="Calibri" w:hAnsi="Calibri" w:cs="Calibri"/>
                <w:color w:val="000000"/>
                <w:szCs w:val="22"/>
                <w:lang w:val="en-GB" w:eastAsia="de-AT"/>
              </w:rPr>
            </w:pPr>
          </w:p>
        </w:tc>
        <w:tc>
          <w:tcPr>
            <w:tcW w:w="430" w:type="pct"/>
            <w:vMerge/>
            <w:tcBorders>
              <w:left w:val="nil"/>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c>
          <w:tcPr>
            <w:tcW w:w="860" w:type="pct"/>
            <w:vMerge/>
            <w:tcBorders>
              <w:left w:val="nil"/>
              <w:right w:val="single" w:sz="4" w:space="0" w:color="auto"/>
            </w:tcBorders>
            <w:shd w:val="clear" w:color="auto" w:fill="auto"/>
            <w:noWrap/>
            <w:vAlign w:val="center"/>
            <w:hideMark/>
          </w:tcPr>
          <w:p w:rsidR="00992F41" w:rsidRPr="004742FB" w:rsidRDefault="00992F41" w:rsidP="00AD048D">
            <w:pPr>
              <w:jc w:val="center"/>
              <w:rPr>
                <w:rFonts w:ascii="Calibri" w:hAnsi="Calibri" w:cs="Calibri"/>
                <w:color w:val="000000"/>
                <w:szCs w:val="22"/>
                <w:lang w:val="en-GB" w:eastAsia="de-AT"/>
              </w:rPr>
            </w:pPr>
          </w:p>
        </w:tc>
        <w:tc>
          <w:tcPr>
            <w:tcW w:w="748" w:type="pct"/>
            <w:vMerge/>
            <w:tcBorders>
              <w:left w:val="nil"/>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c>
          <w:tcPr>
            <w:tcW w:w="848" w:type="pct"/>
            <w:vMerge/>
            <w:tcBorders>
              <w:left w:val="nil"/>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r>
      <w:tr w:rsidR="005E181B" w:rsidRPr="004742FB" w:rsidTr="009D0B5A">
        <w:trPr>
          <w:trHeight w:val="426"/>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6600 &lt; Un ≤ 11000 V</w:t>
            </w:r>
          </w:p>
        </w:tc>
        <w:tc>
          <w:tcPr>
            <w:tcW w:w="811" w:type="pct"/>
            <w:tcBorders>
              <w:top w:val="nil"/>
              <w:left w:val="nil"/>
              <w:bottom w:val="single" w:sz="4" w:space="0" w:color="auto"/>
              <w:right w:val="single" w:sz="4" w:space="0" w:color="auto"/>
            </w:tcBorders>
            <w:shd w:val="clear" w:color="auto" w:fill="auto"/>
            <w:noWrap/>
            <w:vAlign w:val="center"/>
            <w:hideMark/>
          </w:tcPr>
          <w:p w:rsidR="00992F41" w:rsidRPr="004742FB" w:rsidRDefault="00332CD5" w:rsidP="00332CD5">
            <w:pPr>
              <w:jc w:val="center"/>
              <w:rPr>
                <w:rFonts w:ascii="Calibri" w:hAnsi="Calibri" w:cs="Calibri"/>
                <w:color w:val="000000"/>
                <w:szCs w:val="22"/>
                <w:lang w:val="en-GB" w:eastAsia="de-AT"/>
              </w:rPr>
            </w:pPr>
            <w:r w:rsidRPr="004742FB">
              <w:rPr>
                <w:rFonts w:ascii="Calibri" w:hAnsi="Calibri" w:cs="Calibri"/>
                <w:color w:val="000000"/>
                <w:szCs w:val="22"/>
                <w:lang w:val="en-GB" w:eastAsia="de-AT"/>
              </w:rPr>
              <w:t>200</w:t>
            </w:r>
            <w:r w:rsidR="00992F41" w:rsidRPr="004742FB">
              <w:rPr>
                <w:rFonts w:ascii="Calibri" w:hAnsi="Calibri" w:cs="Calibri"/>
                <w:color w:val="000000"/>
                <w:szCs w:val="22"/>
                <w:lang w:val="en-GB" w:eastAsia="de-AT"/>
              </w:rPr>
              <w:t xml:space="preserve"> - 4</w:t>
            </w:r>
            <w:r w:rsidRPr="004742FB">
              <w:rPr>
                <w:rFonts w:ascii="Calibri" w:hAnsi="Calibri" w:cs="Calibri"/>
                <w:color w:val="000000"/>
                <w:szCs w:val="22"/>
                <w:lang w:val="en-GB" w:eastAsia="de-AT"/>
              </w:rPr>
              <w:t>00</w:t>
            </w:r>
            <w:r w:rsidR="00992F41" w:rsidRPr="004742FB">
              <w:rPr>
                <w:rFonts w:ascii="Calibri" w:hAnsi="Calibri" w:cs="Calibri"/>
                <w:color w:val="000000"/>
                <w:szCs w:val="22"/>
                <w:lang w:val="en-GB" w:eastAsia="de-AT"/>
              </w:rPr>
              <w:t>00 kW</w:t>
            </w:r>
          </w:p>
        </w:tc>
        <w:tc>
          <w:tcPr>
            <w:tcW w:w="359" w:type="pct"/>
            <w:vMerge/>
            <w:tcBorders>
              <w:left w:val="nil"/>
              <w:bottom w:val="single" w:sz="4" w:space="0" w:color="auto"/>
              <w:right w:val="single" w:sz="4" w:space="0" w:color="auto"/>
            </w:tcBorders>
            <w:shd w:val="clear" w:color="auto" w:fill="auto"/>
            <w:noWrap/>
            <w:vAlign w:val="center"/>
          </w:tcPr>
          <w:p w:rsidR="00992F41" w:rsidRPr="004742FB" w:rsidRDefault="00992F41" w:rsidP="00FD38FC">
            <w:pPr>
              <w:jc w:val="center"/>
              <w:rPr>
                <w:rFonts w:ascii="Calibri" w:hAnsi="Calibri" w:cs="Calibri"/>
                <w:color w:val="000000"/>
                <w:szCs w:val="22"/>
                <w:lang w:val="en-GB" w:eastAsia="de-AT"/>
              </w:rPr>
            </w:pPr>
          </w:p>
        </w:tc>
        <w:tc>
          <w:tcPr>
            <w:tcW w:w="430" w:type="pct"/>
            <w:vMerge/>
            <w:tcBorders>
              <w:left w:val="nil"/>
              <w:bottom w:val="single" w:sz="4" w:space="0" w:color="auto"/>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c>
          <w:tcPr>
            <w:tcW w:w="860" w:type="pct"/>
            <w:vMerge/>
            <w:tcBorders>
              <w:left w:val="nil"/>
              <w:bottom w:val="single" w:sz="4" w:space="0" w:color="auto"/>
              <w:right w:val="single" w:sz="4" w:space="0" w:color="auto"/>
            </w:tcBorders>
            <w:shd w:val="clear" w:color="auto" w:fill="auto"/>
            <w:noWrap/>
            <w:vAlign w:val="center"/>
            <w:hideMark/>
          </w:tcPr>
          <w:p w:rsidR="00992F41" w:rsidRPr="004742FB" w:rsidRDefault="00992F41" w:rsidP="00AD048D">
            <w:pPr>
              <w:jc w:val="center"/>
              <w:rPr>
                <w:rFonts w:ascii="Calibri" w:hAnsi="Calibri" w:cs="Calibri"/>
                <w:color w:val="000000"/>
                <w:szCs w:val="22"/>
                <w:lang w:val="en-GB" w:eastAsia="de-AT"/>
              </w:rPr>
            </w:pPr>
          </w:p>
        </w:tc>
        <w:tc>
          <w:tcPr>
            <w:tcW w:w="748" w:type="pct"/>
            <w:vMerge/>
            <w:tcBorders>
              <w:left w:val="nil"/>
              <w:bottom w:val="single" w:sz="4" w:space="0" w:color="auto"/>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c>
          <w:tcPr>
            <w:tcW w:w="848" w:type="pct"/>
            <w:vMerge/>
            <w:tcBorders>
              <w:left w:val="nil"/>
              <w:bottom w:val="single" w:sz="4" w:space="0" w:color="auto"/>
              <w:right w:val="single" w:sz="4" w:space="0" w:color="auto"/>
            </w:tcBorders>
            <w:shd w:val="clear" w:color="auto" w:fill="auto"/>
            <w:noWrap/>
            <w:vAlign w:val="center"/>
            <w:hideMark/>
          </w:tcPr>
          <w:p w:rsidR="00992F41" w:rsidRPr="004742FB" w:rsidRDefault="00992F41" w:rsidP="00FD38FC">
            <w:pPr>
              <w:jc w:val="center"/>
              <w:rPr>
                <w:rFonts w:ascii="Calibri" w:hAnsi="Calibri" w:cs="Calibri"/>
                <w:color w:val="000000"/>
                <w:szCs w:val="22"/>
                <w:lang w:val="en-GB" w:eastAsia="de-AT"/>
              </w:rPr>
            </w:pPr>
          </w:p>
        </w:tc>
      </w:tr>
    </w:tbl>
    <w:p w:rsidR="007E50D3" w:rsidRPr="004742FB" w:rsidRDefault="007E50D3" w:rsidP="004E19E8">
      <w:pPr>
        <w:rPr>
          <w:rFonts w:cs="Arial"/>
          <w:sz w:val="20"/>
          <w:szCs w:val="20"/>
          <w:lang w:val="en-GB"/>
        </w:rPr>
      </w:pPr>
    </w:p>
    <w:p w:rsidR="003372CA" w:rsidRPr="004742FB" w:rsidRDefault="003372CA" w:rsidP="004E19E8">
      <w:pPr>
        <w:rPr>
          <w:rFonts w:cs="Arial"/>
          <w:sz w:val="20"/>
          <w:szCs w:val="20"/>
          <w:lang w:val="en-GB"/>
        </w:rPr>
      </w:pPr>
    </w:p>
    <w:p w:rsidR="00EA21FE" w:rsidRPr="004742FB" w:rsidRDefault="00C95A11" w:rsidP="004E19E8">
      <w:pPr>
        <w:rPr>
          <w:rFonts w:cs="Arial"/>
          <w:sz w:val="20"/>
          <w:szCs w:val="20"/>
          <w:lang w:val="en-GB"/>
        </w:rPr>
      </w:pPr>
      <w:r>
        <w:rPr>
          <w:rFonts w:cs="Arial"/>
          <w:sz w:val="20"/>
          <w:szCs w:val="20"/>
          <w:lang w:val="en-GB"/>
        </w:rPr>
        <w:t xml:space="preserve">The </w:t>
      </w:r>
      <w:r w:rsidR="00A976B9">
        <w:rPr>
          <w:rFonts w:cs="Arial"/>
          <w:sz w:val="20"/>
          <w:szCs w:val="20"/>
          <w:lang w:val="en-GB"/>
        </w:rPr>
        <w:t>explosion-protected</w:t>
      </w:r>
      <w:r>
        <w:rPr>
          <w:rFonts w:cs="Arial"/>
          <w:sz w:val="20"/>
          <w:szCs w:val="20"/>
          <w:lang w:val="en-GB"/>
        </w:rPr>
        <w:t xml:space="preserve"> motors are mainly produced in the </w:t>
      </w:r>
      <w:r w:rsidR="00A976B9">
        <w:rPr>
          <w:rFonts w:cs="Arial"/>
          <w:sz w:val="20"/>
          <w:szCs w:val="20"/>
          <w:lang w:val="en-GB"/>
        </w:rPr>
        <w:t>Portuguese</w:t>
      </w:r>
      <w:r>
        <w:rPr>
          <w:rFonts w:cs="Arial"/>
          <w:sz w:val="20"/>
          <w:szCs w:val="20"/>
          <w:lang w:val="en-GB"/>
        </w:rPr>
        <w:t xml:space="preserve"> Maia</w:t>
      </w:r>
      <w:r w:rsidR="00EA21FE" w:rsidRPr="004742FB">
        <w:rPr>
          <w:rFonts w:cs="Arial"/>
          <w:sz w:val="20"/>
          <w:szCs w:val="20"/>
          <w:lang w:val="en-GB"/>
        </w:rPr>
        <w:t>, WEG</w:t>
      </w:r>
      <w:r w:rsidR="002A4A4B">
        <w:rPr>
          <w:rFonts w:cs="Arial"/>
          <w:sz w:val="20"/>
          <w:szCs w:val="20"/>
          <w:lang w:val="en-GB"/>
        </w:rPr>
        <w:t>’s c</w:t>
      </w:r>
      <w:r w:rsidR="00EA21FE" w:rsidRPr="004742FB">
        <w:rPr>
          <w:rFonts w:cs="Arial"/>
          <w:sz w:val="20"/>
          <w:szCs w:val="20"/>
          <w:lang w:val="en-GB"/>
        </w:rPr>
        <w:t>ompeten</w:t>
      </w:r>
      <w:r w:rsidR="002A4A4B">
        <w:rPr>
          <w:rFonts w:cs="Arial"/>
          <w:sz w:val="20"/>
          <w:szCs w:val="20"/>
          <w:lang w:val="en-GB"/>
        </w:rPr>
        <w:t>ce centre fo</w:t>
      </w:r>
      <w:r w:rsidR="00EA21FE" w:rsidRPr="004742FB">
        <w:rPr>
          <w:rFonts w:cs="Arial"/>
          <w:sz w:val="20"/>
          <w:szCs w:val="20"/>
          <w:lang w:val="en-GB"/>
        </w:rPr>
        <w:t xml:space="preserve">r </w:t>
      </w:r>
      <w:r w:rsidR="00A976B9">
        <w:rPr>
          <w:rFonts w:cs="Arial"/>
          <w:sz w:val="20"/>
          <w:szCs w:val="20"/>
          <w:lang w:val="en-GB"/>
        </w:rPr>
        <w:t>the</w:t>
      </w:r>
      <w:r w:rsidR="002A4A4B">
        <w:rPr>
          <w:rFonts w:cs="Arial"/>
          <w:sz w:val="20"/>
          <w:szCs w:val="20"/>
          <w:lang w:val="en-GB"/>
        </w:rPr>
        <w:t xml:space="preserve"> production of middle and high voltage motors</w:t>
      </w:r>
      <w:r w:rsidR="00EA21FE" w:rsidRPr="004742FB">
        <w:rPr>
          <w:rFonts w:cs="Arial"/>
          <w:sz w:val="20"/>
          <w:szCs w:val="20"/>
          <w:lang w:val="en-GB"/>
        </w:rPr>
        <w:t xml:space="preserve">.  </w:t>
      </w:r>
    </w:p>
    <w:p w:rsidR="00EA21FE" w:rsidRDefault="00EA21FE" w:rsidP="004E19E8">
      <w:pPr>
        <w:rPr>
          <w:rFonts w:cs="Arial"/>
          <w:sz w:val="20"/>
          <w:szCs w:val="20"/>
          <w:lang w:val="en-GB"/>
        </w:rPr>
      </w:pPr>
    </w:p>
    <w:p w:rsidR="00EA67AC" w:rsidRDefault="00EA67AC" w:rsidP="004E19E8">
      <w:pPr>
        <w:rPr>
          <w:rFonts w:cs="Arial"/>
          <w:sz w:val="20"/>
          <w:szCs w:val="20"/>
          <w:lang w:val="en-GB"/>
        </w:rPr>
      </w:pPr>
    </w:p>
    <w:p w:rsidR="00EA67AC" w:rsidRDefault="00EA67AC" w:rsidP="004E19E8">
      <w:pPr>
        <w:rPr>
          <w:rFonts w:cs="Arial"/>
          <w:sz w:val="20"/>
          <w:szCs w:val="20"/>
          <w:lang w:val="en-GB"/>
        </w:rPr>
      </w:pPr>
    </w:p>
    <w:p w:rsidR="00EA67AC" w:rsidRDefault="00EA67AC" w:rsidP="00EA67AC">
      <w:pPr>
        <w:jc w:val="center"/>
        <w:rPr>
          <w:noProof/>
          <w:sz w:val="20"/>
          <w:szCs w:val="20"/>
          <w:lang w:val="de-AT" w:eastAsia="en-GB"/>
        </w:rPr>
      </w:pPr>
      <w:r>
        <w:rPr>
          <w:noProof/>
          <w:sz w:val="20"/>
          <w:szCs w:val="20"/>
          <w:lang w:val="en-GB" w:eastAsia="en-GB"/>
        </w:rPr>
        <w:lastRenderedPageBreak/>
        <w:drawing>
          <wp:inline distT="0" distB="0" distL="0" distR="0" wp14:anchorId="2C6ED48F" wp14:editId="32DD3E27">
            <wp:extent cx="2346290" cy="165946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w22x-560-710-explosion-proof-motor-72.png"/>
                    <pic:cNvPicPr/>
                  </pic:nvPicPr>
                  <pic:blipFill>
                    <a:blip r:embed="rId10">
                      <a:extLst>
                        <a:ext uri="{28A0092B-C50C-407E-A947-70E740481C1C}">
                          <a14:useLocalDpi xmlns:a14="http://schemas.microsoft.com/office/drawing/2010/main" val="0"/>
                        </a:ext>
                      </a:extLst>
                    </a:blip>
                    <a:stretch>
                      <a:fillRect/>
                    </a:stretch>
                  </pic:blipFill>
                  <pic:spPr>
                    <a:xfrm>
                      <a:off x="0" y="0"/>
                      <a:ext cx="2343128" cy="1657231"/>
                    </a:xfrm>
                    <a:prstGeom prst="rect">
                      <a:avLst/>
                    </a:prstGeom>
                  </pic:spPr>
                </pic:pic>
              </a:graphicData>
            </a:graphic>
          </wp:inline>
        </w:drawing>
      </w:r>
    </w:p>
    <w:p w:rsidR="00EA67AC" w:rsidRPr="00EA67AC" w:rsidRDefault="00EA67AC" w:rsidP="00EA67AC">
      <w:pPr>
        <w:jc w:val="center"/>
        <w:rPr>
          <w:noProof/>
          <w:sz w:val="20"/>
          <w:szCs w:val="20"/>
          <w:lang w:val="en-GB" w:eastAsia="en-GB"/>
        </w:rPr>
      </w:pPr>
      <w:r w:rsidRPr="00EA67AC">
        <w:rPr>
          <w:noProof/>
          <w:sz w:val="20"/>
          <w:szCs w:val="20"/>
          <w:lang w:val="en-GB" w:eastAsia="en-GB"/>
        </w:rPr>
        <w:t xml:space="preserve">Picture 2: WEG W22X Line frame size 560-710 </w:t>
      </w:r>
    </w:p>
    <w:p w:rsidR="00EA67AC" w:rsidRPr="004742FB" w:rsidRDefault="00EA67AC" w:rsidP="004E19E8">
      <w:pPr>
        <w:rPr>
          <w:rFonts w:cs="Arial"/>
          <w:sz w:val="20"/>
          <w:szCs w:val="20"/>
          <w:lang w:val="en-GB"/>
        </w:rPr>
      </w:pPr>
    </w:p>
    <w:p w:rsidR="00EA67AC" w:rsidRDefault="00EA67AC" w:rsidP="004E19E8">
      <w:pPr>
        <w:rPr>
          <w:rFonts w:cs="Arial"/>
          <w:sz w:val="20"/>
          <w:szCs w:val="20"/>
          <w:lang w:val="en-GB"/>
        </w:rPr>
      </w:pPr>
    </w:p>
    <w:p w:rsidR="00EA67AC" w:rsidRDefault="00EA67AC" w:rsidP="004E19E8">
      <w:pPr>
        <w:rPr>
          <w:rFonts w:cs="Arial"/>
          <w:sz w:val="20"/>
          <w:szCs w:val="20"/>
          <w:lang w:val="en-GB"/>
        </w:rPr>
      </w:pPr>
    </w:p>
    <w:p w:rsidR="0048660B" w:rsidRPr="004742FB" w:rsidRDefault="0044169E" w:rsidP="004E19E8">
      <w:pPr>
        <w:rPr>
          <w:rFonts w:cs="Arial"/>
          <w:sz w:val="20"/>
          <w:szCs w:val="20"/>
          <w:lang w:val="en-GB"/>
        </w:rPr>
      </w:pPr>
      <w:r>
        <w:rPr>
          <w:rFonts w:cs="Arial"/>
          <w:sz w:val="20"/>
          <w:szCs w:val="20"/>
          <w:lang w:val="en-GB"/>
        </w:rPr>
        <w:t xml:space="preserve">The </w:t>
      </w:r>
      <w:r w:rsidR="00A976B9">
        <w:rPr>
          <w:rFonts w:cs="Arial"/>
          <w:sz w:val="20"/>
          <w:szCs w:val="20"/>
          <w:lang w:val="en-GB"/>
        </w:rPr>
        <w:t>variety of different certifications offers</w:t>
      </w:r>
      <w:r>
        <w:rPr>
          <w:rFonts w:cs="Arial"/>
          <w:sz w:val="20"/>
          <w:szCs w:val="20"/>
          <w:lang w:val="en-GB"/>
        </w:rPr>
        <w:t xml:space="preserve"> the possibility to use the W22X m</w:t>
      </w:r>
      <w:r w:rsidR="00281545" w:rsidRPr="004742FB">
        <w:rPr>
          <w:rFonts w:cs="Arial"/>
          <w:sz w:val="20"/>
          <w:szCs w:val="20"/>
          <w:lang w:val="en-GB"/>
        </w:rPr>
        <w:t xml:space="preserve">otor in </w:t>
      </w:r>
      <w:r>
        <w:rPr>
          <w:rFonts w:cs="Arial"/>
          <w:sz w:val="20"/>
          <w:szCs w:val="20"/>
          <w:lang w:val="en-GB"/>
        </w:rPr>
        <w:t>nearly</w:t>
      </w:r>
      <w:r w:rsidR="00281545" w:rsidRPr="004742FB">
        <w:rPr>
          <w:rFonts w:cs="Arial"/>
          <w:sz w:val="20"/>
          <w:szCs w:val="20"/>
          <w:lang w:val="en-GB"/>
        </w:rPr>
        <w:t xml:space="preserve"> </w:t>
      </w:r>
      <w:r>
        <w:rPr>
          <w:rFonts w:cs="Arial"/>
          <w:sz w:val="20"/>
          <w:szCs w:val="20"/>
          <w:lang w:val="en-GB"/>
        </w:rPr>
        <w:t>every industrial</w:t>
      </w:r>
      <w:r w:rsidR="00281545" w:rsidRPr="004742FB">
        <w:rPr>
          <w:rFonts w:cs="Arial"/>
          <w:sz w:val="20"/>
          <w:szCs w:val="20"/>
          <w:lang w:val="en-GB"/>
        </w:rPr>
        <w:t xml:space="preserve"> </w:t>
      </w:r>
      <w:r>
        <w:rPr>
          <w:rFonts w:cs="Arial"/>
          <w:sz w:val="20"/>
          <w:szCs w:val="20"/>
          <w:lang w:val="en-GB"/>
        </w:rPr>
        <w:t>segment</w:t>
      </w:r>
      <w:r w:rsidR="00281545" w:rsidRPr="004742FB">
        <w:rPr>
          <w:rFonts w:cs="Arial"/>
          <w:sz w:val="20"/>
          <w:szCs w:val="20"/>
          <w:lang w:val="en-GB"/>
        </w:rPr>
        <w:t xml:space="preserve">. </w:t>
      </w:r>
      <w:r w:rsidR="00433AA9">
        <w:rPr>
          <w:rFonts w:cs="Arial"/>
          <w:sz w:val="20"/>
          <w:szCs w:val="20"/>
          <w:lang w:val="en-GB"/>
        </w:rPr>
        <w:t xml:space="preserve">That includes the whole oil and gas industry, as well as other </w:t>
      </w:r>
      <w:r w:rsidR="00A976B9">
        <w:rPr>
          <w:rFonts w:cs="Arial"/>
          <w:sz w:val="20"/>
          <w:szCs w:val="20"/>
          <w:lang w:val="en-GB"/>
        </w:rPr>
        <w:t>industries that</w:t>
      </w:r>
      <w:r w:rsidR="00433AA9">
        <w:rPr>
          <w:rFonts w:cs="Arial"/>
          <w:sz w:val="20"/>
          <w:szCs w:val="20"/>
          <w:lang w:val="en-GB"/>
        </w:rPr>
        <w:t xml:space="preserve"> have high demands on a product range of explosion protected and energy saving motors. </w:t>
      </w:r>
    </w:p>
    <w:p w:rsidR="00BC498E" w:rsidRPr="004742FB" w:rsidRDefault="006B7CEC" w:rsidP="004E19E8">
      <w:pPr>
        <w:rPr>
          <w:rFonts w:cs="Arial"/>
          <w:sz w:val="20"/>
          <w:szCs w:val="20"/>
          <w:lang w:val="en-GB"/>
        </w:rPr>
      </w:pPr>
      <w:r>
        <w:rPr>
          <w:rFonts w:cs="Arial"/>
          <w:sz w:val="20"/>
          <w:szCs w:val="20"/>
          <w:lang w:val="en-GB"/>
        </w:rPr>
        <w:t>Of course t</w:t>
      </w:r>
      <w:r w:rsidR="00AB010B">
        <w:rPr>
          <w:rFonts w:cs="Arial"/>
          <w:sz w:val="20"/>
          <w:szCs w:val="20"/>
          <w:lang w:val="en-GB"/>
        </w:rPr>
        <w:t>he common options are available, like PT-100 fo</w:t>
      </w:r>
      <w:r w:rsidR="00281545" w:rsidRPr="004742FB">
        <w:rPr>
          <w:rFonts w:cs="Arial"/>
          <w:sz w:val="20"/>
          <w:szCs w:val="20"/>
          <w:lang w:val="en-GB"/>
        </w:rPr>
        <w:t xml:space="preserve">r </w:t>
      </w:r>
      <w:r w:rsidR="008C1F91">
        <w:rPr>
          <w:rFonts w:cs="Arial"/>
          <w:sz w:val="20"/>
          <w:szCs w:val="20"/>
          <w:lang w:val="en-GB"/>
        </w:rPr>
        <w:t>winding a</w:t>
      </w:r>
      <w:r w:rsidR="00281545" w:rsidRPr="004742FB">
        <w:rPr>
          <w:rFonts w:cs="Arial"/>
          <w:sz w:val="20"/>
          <w:szCs w:val="20"/>
          <w:lang w:val="en-GB"/>
        </w:rPr>
        <w:t xml:space="preserve">nd </w:t>
      </w:r>
      <w:r w:rsidR="008C1F91">
        <w:rPr>
          <w:rFonts w:cs="Arial"/>
          <w:sz w:val="20"/>
          <w:szCs w:val="20"/>
          <w:lang w:val="en-GB"/>
        </w:rPr>
        <w:t>bearing, isolated</w:t>
      </w:r>
      <w:r w:rsidR="00281545" w:rsidRPr="004742FB">
        <w:rPr>
          <w:rFonts w:cs="Arial"/>
          <w:sz w:val="20"/>
          <w:szCs w:val="20"/>
          <w:lang w:val="en-GB"/>
        </w:rPr>
        <w:t xml:space="preserve"> </w:t>
      </w:r>
      <w:r w:rsidR="008C1F91">
        <w:rPr>
          <w:rFonts w:cs="Arial"/>
          <w:sz w:val="20"/>
          <w:szCs w:val="20"/>
          <w:lang w:val="en-GB"/>
        </w:rPr>
        <w:t>bearing</w:t>
      </w:r>
      <w:r w:rsidR="000E71B3">
        <w:rPr>
          <w:rFonts w:cs="Arial"/>
          <w:sz w:val="20"/>
          <w:szCs w:val="20"/>
          <w:lang w:val="en-GB"/>
        </w:rPr>
        <w:t>s</w:t>
      </w:r>
      <w:r w:rsidR="00281545" w:rsidRPr="004742FB">
        <w:rPr>
          <w:rFonts w:cs="Arial"/>
          <w:sz w:val="20"/>
          <w:szCs w:val="20"/>
          <w:lang w:val="en-GB"/>
        </w:rPr>
        <w:t xml:space="preserve">, </w:t>
      </w:r>
      <w:r w:rsidR="00A056C7">
        <w:rPr>
          <w:rFonts w:cs="Arial"/>
          <w:sz w:val="20"/>
          <w:szCs w:val="20"/>
          <w:lang w:val="en-GB"/>
        </w:rPr>
        <w:t>special voltages</w:t>
      </w:r>
      <w:r w:rsidR="00281545" w:rsidRPr="004742FB">
        <w:rPr>
          <w:rFonts w:cs="Arial"/>
          <w:sz w:val="20"/>
          <w:szCs w:val="20"/>
          <w:lang w:val="en-GB"/>
        </w:rPr>
        <w:t xml:space="preserve">, </w:t>
      </w:r>
      <w:r w:rsidR="000E71B3">
        <w:rPr>
          <w:rFonts w:cs="Arial"/>
          <w:sz w:val="20"/>
          <w:szCs w:val="20"/>
          <w:lang w:val="en-GB"/>
        </w:rPr>
        <w:t>varying</w:t>
      </w:r>
      <w:r w:rsidR="00281545" w:rsidRPr="004742FB">
        <w:rPr>
          <w:rFonts w:cs="Arial"/>
          <w:sz w:val="20"/>
          <w:szCs w:val="20"/>
          <w:lang w:val="en-GB"/>
        </w:rPr>
        <w:t xml:space="preserve"> </w:t>
      </w:r>
      <w:r>
        <w:rPr>
          <w:rFonts w:cs="Arial"/>
          <w:sz w:val="20"/>
          <w:szCs w:val="20"/>
          <w:lang w:val="en-GB"/>
        </w:rPr>
        <w:t>designs</w:t>
      </w:r>
      <w:r w:rsidR="00F313EE">
        <w:rPr>
          <w:rFonts w:cs="Arial"/>
          <w:sz w:val="20"/>
          <w:szCs w:val="20"/>
          <w:lang w:val="en-GB"/>
        </w:rPr>
        <w:t>, etc</w:t>
      </w:r>
      <w:r w:rsidR="00281545" w:rsidRPr="004742FB">
        <w:rPr>
          <w:rFonts w:cs="Arial"/>
          <w:sz w:val="20"/>
          <w:szCs w:val="20"/>
          <w:lang w:val="en-GB"/>
        </w:rPr>
        <w:t>.</w:t>
      </w:r>
    </w:p>
    <w:p w:rsidR="008B55CB" w:rsidRPr="004742FB" w:rsidRDefault="008B55CB" w:rsidP="004E19E8">
      <w:pPr>
        <w:rPr>
          <w:rFonts w:cs="Arial"/>
          <w:sz w:val="20"/>
          <w:szCs w:val="20"/>
          <w:lang w:val="en-GB"/>
        </w:rPr>
      </w:pPr>
    </w:p>
    <w:p w:rsidR="00FD38FC" w:rsidRPr="004742FB" w:rsidRDefault="008B55CB" w:rsidP="004E19E8">
      <w:pPr>
        <w:rPr>
          <w:rFonts w:cs="Arial"/>
          <w:sz w:val="20"/>
          <w:szCs w:val="20"/>
          <w:lang w:val="en-GB"/>
        </w:rPr>
      </w:pPr>
      <w:r w:rsidRPr="004742FB">
        <w:rPr>
          <w:rFonts w:cs="Arial"/>
          <w:sz w:val="20"/>
          <w:szCs w:val="20"/>
          <w:lang w:val="en-GB"/>
        </w:rPr>
        <w:t>Explosion</w:t>
      </w:r>
      <w:r w:rsidR="001D2054">
        <w:rPr>
          <w:rFonts w:cs="Arial"/>
          <w:sz w:val="20"/>
          <w:szCs w:val="20"/>
          <w:lang w:val="en-GB"/>
        </w:rPr>
        <w:t xml:space="preserve"> protected motors of </w:t>
      </w:r>
      <w:r w:rsidRPr="004742FB">
        <w:rPr>
          <w:rFonts w:cs="Arial"/>
          <w:sz w:val="20"/>
          <w:szCs w:val="20"/>
          <w:lang w:val="en-GB"/>
        </w:rPr>
        <w:t xml:space="preserve">WEG </w:t>
      </w:r>
      <w:r w:rsidR="001D2054">
        <w:rPr>
          <w:rFonts w:cs="Arial"/>
          <w:sz w:val="20"/>
          <w:szCs w:val="20"/>
          <w:lang w:val="en-GB"/>
        </w:rPr>
        <w:t>offer</w:t>
      </w:r>
      <w:r w:rsidR="00981B57" w:rsidRPr="004742FB">
        <w:rPr>
          <w:rFonts w:cs="Arial"/>
          <w:sz w:val="20"/>
          <w:szCs w:val="20"/>
          <w:lang w:val="en-GB"/>
        </w:rPr>
        <w:t xml:space="preserve"> </w:t>
      </w:r>
      <w:r w:rsidR="008D4624">
        <w:rPr>
          <w:rFonts w:cs="Arial"/>
          <w:sz w:val="20"/>
          <w:szCs w:val="20"/>
          <w:lang w:val="en-GB"/>
        </w:rPr>
        <w:t>unrivalled</w:t>
      </w:r>
      <w:r w:rsidR="00981B57" w:rsidRPr="004742FB">
        <w:rPr>
          <w:rFonts w:cs="Arial"/>
          <w:sz w:val="20"/>
          <w:szCs w:val="20"/>
          <w:lang w:val="en-GB"/>
        </w:rPr>
        <w:t xml:space="preserve"> </w:t>
      </w:r>
      <w:r w:rsidR="008D6129">
        <w:rPr>
          <w:rFonts w:cs="Arial"/>
          <w:sz w:val="20"/>
          <w:szCs w:val="20"/>
          <w:lang w:val="en-GB"/>
        </w:rPr>
        <w:t>reliability</w:t>
      </w:r>
      <w:r w:rsidR="00B723A2">
        <w:rPr>
          <w:rFonts w:cs="Arial"/>
          <w:sz w:val="20"/>
          <w:szCs w:val="20"/>
          <w:lang w:val="en-GB"/>
        </w:rPr>
        <w:t>, international certification</w:t>
      </w:r>
      <w:r w:rsidR="00981B57" w:rsidRPr="004742FB">
        <w:rPr>
          <w:rFonts w:cs="Arial"/>
          <w:sz w:val="20"/>
          <w:szCs w:val="20"/>
          <w:lang w:val="en-GB"/>
        </w:rPr>
        <w:t xml:space="preserve">, </w:t>
      </w:r>
      <w:r w:rsidR="00B723A2">
        <w:rPr>
          <w:rFonts w:cs="Arial"/>
          <w:sz w:val="20"/>
          <w:szCs w:val="20"/>
          <w:lang w:val="en-GB"/>
        </w:rPr>
        <w:t>low</w:t>
      </w:r>
      <w:r w:rsidR="00981B57" w:rsidRPr="004742FB">
        <w:rPr>
          <w:rFonts w:cs="Arial"/>
          <w:sz w:val="20"/>
          <w:szCs w:val="20"/>
          <w:lang w:val="en-GB"/>
        </w:rPr>
        <w:t xml:space="preserve"> </w:t>
      </w:r>
      <w:r w:rsidR="00B66DD7">
        <w:rPr>
          <w:rFonts w:cs="Arial"/>
          <w:sz w:val="20"/>
          <w:szCs w:val="20"/>
          <w:lang w:val="en-GB"/>
        </w:rPr>
        <w:t>operation</w:t>
      </w:r>
      <w:r w:rsidR="00B723A2">
        <w:rPr>
          <w:rFonts w:cs="Arial"/>
          <w:sz w:val="20"/>
          <w:szCs w:val="20"/>
          <w:lang w:val="en-GB"/>
        </w:rPr>
        <w:t xml:space="preserve"> costs</w:t>
      </w:r>
      <w:r w:rsidR="00281545" w:rsidRPr="004742FB">
        <w:rPr>
          <w:rFonts w:cs="Arial"/>
          <w:sz w:val="20"/>
          <w:szCs w:val="20"/>
          <w:lang w:val="en-GB"/>
        </w:rPr>
        <w:t xml:space="preserve">, </w:t>
      </w:r>
      <w:r w:rsidR="00B723A2">
        <w:rPr>
          <w:rFonts w:cs="Arial"/>
          <w:sz w:val="20"/>
          <w:szCs w:val="20"/>
          <w:lang w:val="en-GB"/>
        </w:rPr>
        <w:t>highest</w:t>
      </w:r>
      <w:r w:rsidR="00281545" w:rsidRPr="004742FB">
        <w:rPr>
          <w:rFonts w:cs="Arial"/>
          <w:sz w:val="20"/>
          <w:szCs w:val="20"/>
          <w:lang w:val="en-GB"/>
        </w:rPr>
        <w:t xml:space="preserve"> </w:t>
      </w:r>
      <w:r w:rsidR="00B723A2">
        <w:rPr>
          <w:rFonts w:cs="Arial"/>
          <w:sz w:val="20"/>
          <w:szCs w:val="20"/>
          <w:lang w:val="en-GB"/>
        </w:rPr>
        <w:t>efficiency classes</w:t>
      </w:r>
      <w:r w:rsidRPr="004742FB">
        <w:rPr>
          <w:rFonts w:cs="Arial"/>
          <w:sz w:val="20"/>
          <w:szCs w:val="20"/>
          <w:lang w:val="en-GB"/>
        </w:rPr>
        <w:t xml:space="preserve"> </w:t>
      </w:r>
      <w:r w:rsidR="00B723A2">
        <w:rPr>
          <w:rFonts w:cs="Arial"/>
          <w:sz w:val="20"/>
          <w:szCs w:val="20"/>
          <w:lang w:val="en-GB"/>
        </w:rPr>
        <w:t>a</w:t>
      </w:r>
      <w:r w:rsidR="00981B57" w:rsidRPr="004742FB">
        <w:rPr>
          <w:rFonts w:cs="Arial"/>
          <w:sz w:val="20"/>
          <w:szCs w:val="20"/>
          <w:lang w:val="en-GB"/>
        </w:rPr>
        <w:t xml:space="preserve">nd </w:t>
      </w:r>
      <w:r w:rsidR="00B66DD7">
        <w:rPr>
          <w:rFonts w:cs="Arial"/>
          <w:sz w:val="20"/>
          <w:szCs w:val="20"/>
          <w:lang w:val="en-GB"/>
        </w:rPr>
        <w:t>reliable</w:t>
      </w:r>
      <w:r w:rsidR="00981B57" w:rsidRPr="004742FB">
        <w:rPr>
          <w:rFonts w:cs="Arial"/>
          <w:sz w:val="20"/>
          <w:szCs w:val="20"/>
          <w:lang w:val="en-GB"/>
        </w:rPr>
        <w:t xml:space="preserve"> </w:t>
      </w:r>
      <w:r w:rsidR="00B723A2">
        <w:rPr>
          <w:rFonts w:cs="Arial"/>
          <w:sz w:val="20"/>
          <w:szCs w:val="20"/>
          <w:lang w:val="en-GB"/>
        </w:rPr>
        <w:t>safety</w:t>
      </w:r>
      <w:r w:rsidR="00981B57" w:rsidRPr="004742FB">
        <w:rPr>
          <w:rFonts w:cs="Arial"/>
          <w:sz w:val="20"/>
          <w:szCs w:val="20"/>
          <w:lang w:val="en-GB"/>
        </w:rPr>
        <w:t>.</w:t>
      </w:r>
    </w:p>
    <w:p w:rsidR="00981B57" w:rsidRPr="004742FB" w:rsidRDefault="00981B57" w:rsidP="004E19E8">
      <w:pPr>
        <w:rPr>
          <w:rFonts w:cs="Arial"/>
          <w:sz w:val="20"/>
          <w:szCs w:val="20"/>
          <w:lang w:val="en-GB"/>
        </w:rPr>
      </w:pPr>
    </w:p>
    <w:p w:rsidR="00981B57" w:rsidRPr="004742FB" w:rsidRDefault="004D1E02" w:rsidP="004D1E02">
      <w:pPr>
        <w:autoSpaceDE w:val="0"/>
        <w:autoSpaceDN w:val="0"/>
        <w:adjustRightInd w:val="0"/>
        <w:rPr>
          <w:rFonts w:cs="Arial"/>
          <w:sz w:val="20"/>
          <w:szCs w:val="20"/>
          <w:lang w:val="en-GB"/>
        </w:rPr>
      </w:pPr>
      <w:r>
        <w:rPr>
          <w:rFonts w:ascii="ArialMT" w:eastAsia="Calibri" w:hAnsi="ArialMT" w:cs="ArialMT"/>
          <w:sz w:val="20"/>
          <w:szCs w:val="20"/>
          <w:lang w:val="en-GB" w:eastAsia="de-AT"/>
        </w:rPr>
        <w:t>F</w:t>
      </w:r>
      <w:r w:rsidR="006B624B">
        <w:rPr>
          <w:rFonts w:ascii="ArialMT" w:eastAsia="Calibri" w:hAnsi="ArialMT" w:cs="ArialMT"/>
          <w:sz w:val="20"/>
          <w:szCs w:val="20"/>
          <w:lang w:val="en-GB" w:eastAsia="de-AT"/>
        </w:rPr>
        <w:t xml:space="preserve">urther </w:t>
      </w:r>
      <w:r>
        <w:rPr>
          <w:rFonts w:ascii="ArialMT" w:eastAsia="Calibri" w:hAnsi="ArialMT" w:cs="ArialMT"/>
          <w:sz w:val="20"/>
          <w:szCs w:val="20"/>
          <w:lang w:val="en-GB" w:eastAsia="de-AT"/>
        </w:rPr>
        <w:t xml:space="preserve">information </w:t>
      </w:r>
      <w:r w:rsidR="006B624B">
        <w:rPr>
          <w:rFonts w:ascii="ArialMT" w:eastAsia="Calibri" w:hAnsi="ArialMT" w:cs="ArialMT"/>
          <w:sz w:val="20"/>
          <w:szCs w:val="20"/>
          <w:lang w:val="en-GB" w:eastAsia="de-AT"/>
        </w:rPr>
        <w:t xml:space="preserve">about the </w:t>
      </w:r>
      <w:r>
        <w:rPr>
          <w:rFonts w:ascii="ArialMT" w:eastAsia="Calibri" w:hAnsi="ArialMT" w:cs="ArialMT"/>
          <w:sz w:val="20"/>
          <w:szCs w:val="20"/>
          <w:lang w:val="en-GB" w:eastAsia="de-AT"/>
        </w:rPr>
        <w:t xml:space="preserve">WEG product range, please visit </w:t>
      </w:r>
      <w:hyperlink r:id="rId11" w:history="1">
        <w:r>
          <w:rPr>
            <w:rStyle w:val="Hyperlink"/>
            <w:rFonts w:cs="Arial"/>
            <w:sz w:val="20"/>
            <w:szCs w:val="20"/>
            <w:lang w:val="en-GB"/>
          </w:rPr>
          <w:t>http://www.weg.net</w:t>
        </w:r>
      </w:hyperlink>
      <w:r>
        <w:rPr>
          <w:rFonts w:cs="Arial"/>
          <w:sz w:val="20"/>
          <w:szCs w:val="20"/>
          <w:lang w:val="en-GB"/>
        </w:rPr>
        <w:t>.</w:t>
      </w:r>
    </w:p>
    <w:p w:rsidR="00304CAF" w:rsidRPr="004742FB" w:rsidRDefault="00304CAF" w:rsidP="004E19E8">
      <w:pPr>
        <w:rPr>
          <w:rFonts w:cs="Arial"/>
          <w:sz w:val="20"/>
          <w:szCs w:val="20"/>
          <w:lang w:val="en-GB"/>
        </w:rPr>
      </w:pPr>
    </w:p>
    <w:p w:rsidR="006B624B" w:rsidRPr="004742FB" w:rsidRDefault="006B624B" w:rsidP="004E19E8">
      <w:pPr>
        <w:rPr>
          <w:rFonts w:cs="Arial"/>
          <w:sz w:val="20"/>
          <w:szCs w:val="20"/>
          <w:lang w:val="en-GB"/>
        </w:rPr>
      </w:pPr>
    </w:p>
    <w:p w:rsidR="000B63EA" w:rsidRDefault="000B63EA" w:rsidP="000B63EA">
      <w:pPr>
        <w:autoSpaceDE w:val="0"/>
        <w:autoSpaceDN w:val="0"/>
        <w:adjustRightInd w:val="0"/>
        <w:rPr>
          <w:rFonts w:ascii="ArialMT" w:eastAsia="Calibri" w:hAnsi="ArialMT" w:cs="ArialMT"/>
          <w:b/>
          <w:sz w:val="20"/>
          <w:szCs w:val="20"/>
          <w:lang w:val="en-GB" w:eastAsia="de-AT"/>
        </w:rPr>
      </w:pPr>
      <w:r w:rsidRPr="0050724A">
        <w:rPr>
          <w:rFonts w:ascii="ArialMT" w:eastAsia="Calibri" w:hAnsi="ArialMT" w:cs="ArialMT"/>
          <w:b/>
          <w:sz w:val="20"/>
          <w:szCs w:val="20"/>
          <w:lang w:val="en-GB" w:eastAsia="de-AT"/>
        </w:rPr>
        <w:t>Explosion-proof WATT gearboxes:</w:t>
      </w:r>
    </w:p>
    <w:p w:rsidR="008E2795" w:rsidRPr="0050724A" w:rsidRDefault="008E2795" w:rsidP="000B63EA">
      <w:pPr>
        <w:autoSpaceDE w:val="0"/>
        <w:autoSpaceDN w:val="0"/>
        <w:adjustRightInd w:val="0"/>
        <w:rPr>
          <w:rFonts w:ascii="ArialMT" w:eastAsia="Calibri" w:hAnsi="ArialMT" w:cs="ArialMT"/>
          <w:b/>
          <w:sz w:val="20"/>
          <w:szCs w:val="20"/>
          <w:lang w:val="en-GB" w:eastAsia="de-AT"/>
        </w:rPr>
      </w:pPr>
    </w:p>
    <w:p w:rsidR="000B63EA" w:rsidRDefault="000B63EA" w:rsidP="000B63EA">
      <w:pPr>
        <w:autoSpaceDE w:val="0"/>
        <w:autoSpaceDN w:val="0"/>
        <w:adjustRightInd w:val="0"/>
        <w:rPr>
          <w:rFonts w:ascii="ArialMT" w:eastAsia="Calibri" w:hAnsi="ArialMT" w:cs="ArialMT"/>
          <w:sz w:val="20"/>
          <w:szCs w:val="20"/>
          <w:lang w:val="en-GB" w:eastAsia="de-AT"/>
        </w:rPr>
      </w:pPr>
      <w:r>
        <w:rPr>
          <w:rFonts w:ascii="ArialMT" w:eastAsia="Calibri" w:hAnsi="ArialMT" w:cs="ArialMT"/>
          <w:sz w:val="20"/>
          <w:szCs w:val="20"/>
          <w:lang w:val="en-GB" w:eastAsia="de-AT"/>
        </w:rPr>
        <w:t xml:space="preserve">According to ATEX the WATT gearboxes </w:t>
      </w:r>
      <w:r w:rsidR="00EA67AC">
        <w:rPr>
          <w:rFonts w:ascii="ArialMT" w:eastAsia="Calibri" w:hAnsi="ArialMT" w:cs="ArialMT"/>
          <w:sz w:val="20"/>
          <w:szCs w:val="20"/>
          <w:lang w:val="en-GB" w:eastAsia="de-AT"/>
        </w:rPr>
        <w:t xml:space="preserve">(see picture 3) </w:t>
      </w:r>
      <w:r>
        <w:rPr>
          <w:rFonts w:ascii="ArialMT" w:eastAsia="Calibri" w:hAnsi="ArialMT" w:cs="ArialMT"/>
          <w:sz w:val="20"/>
          <w:szCs w:val="20"/>
          <w:lang w:val="en-GB" w:eastAsia="de-AT"/>
        </w:rPr>
        <w:t xml:space="preserve">can either be used for gas explosion protection (G) or for dust explosion protection (D). The drives can be used for following EX zones in combination with explosion proof motors from WEG: </w:t>
      </w:r>
    </w:p>
    <w:p w:rsidR="000B63EA" w:rsidRDefault="000B63EA" w:rsidP="000B63EA">
      <w:pPr>
        <w:autoSpaceDE w:val="0"/>
        <w:autoSpaceDN w:val="0"/>
        <w:adjustRightInd w:val="0"/>
        <w:rPr>
          <w:rFonts w:ascii="ArialMT" w:eastAsia="Calibri" w:hAnsi="ArialMT" w:cs="ArialMT"/>
          <w:sz w:val="20"/>
          <w:szCs w:val="20"/>
          <w:lang w:val="en-GB" w:eastAsia="de-AT"/>
        </w:rPr>
      </w:pPr>
    </w:p>
    <w:p w:rsidR="000B63EA" w:rsidRPr="0050724A" w:rsidRDefault="000B63EA" w:rsidP="000B63EA">
      <w:pPr>
        <w:pStyle w:val="Listenabsatz"/>
        <w:numPr>
          <w:ilvl w:val="0"/>
          <w:numId w:val="33"/>
        </w:numPr>
        <w:autoSpaceDE w:val="0"/>
        <w:autoSpaceDN w:val="0"/>
        <w:adjustRightInd w:val="0"/>
        <w:rPr>
          <w:rFonts w:ascii="ArialMT" w:eastAsia="Calibri" w:hAnsi="ArialMT" w:cs="ArialMT"/>
          <w:sz w:val="20"/>
          <w:szCs w:val="20"/>
          <w:lang w:val="en-GB" w:eastAsia="de-AT"/>
        </w:rPr>
      </w:pPr>
      <w:r w:rsidRPr="0050724A">
        <w:rPr>
          <w:rFonts w:ascii="ArialMT" w:eastAsia="Calibri" w:hAnsi="ArialMT" w:cs="ArialMT"/>
          <w:sz w:val="20"/>
          <w:szCs w:val="20"/>
          <w:lang w:val="en-GB" w:eastAsia="de-AT"/>
        </w:rPr>
        <w:t>Equipment group I category M2: I M2 c</w:t>
      </w:r>
    </w:p>
    <w:p w:rsidR="000B63EA" w:rsidRPr="00E726BF" w:rsidRDefault="000B63EA" w:rsidP="000B63EA">
      <w:pPr>
        <w:pStyle w:val="Listenabsatz"/>
        <w:numPr>
          <w:ilvl w:val="0"/>
          <w:numId w:val="33"/>
        </w:numPr>
        <w:autoSpaceDE w:val="0"/>
        <w:autoSpaceDN w:val="0"/>
        <w:adjustRightInd w:val="0"/>
        <w:rPr>
          <w:rFonts w:ascii="ArialMT" w:eastAsia="Calibri" w:hAnsi="ArialMT" w:cs="ArialMT"/>
          <w:sz w:val="20"/>
          <w:szCs w:val="20"/>
          <w:lang w:val="en-GB" w:eastAsia="de-AT"/>
        </w:rPr>
      </w:pPr>
      <w:r w:rsidRPr="00E726BF">
        <w:rPr>
          <w:rFonts w:ascii="ArialMT" w:eastAsia="Calibri" w:hAnsi="ArialMT" w:cs="ArialMT"/>
          <w:sz w:val="20"/>
          <w:szCs w:val="20"/>
          <w:lang w:val="en-GB" w:eastAsia="de-AT"/>
        </w:rPr>
        <w:t>Equipment group II category 2: II 2G c T4</w:t>
      </w:r>
      <w:r w:rsidR="00E726BF">
        <w:rPr>
          <w:rFonts w:ascii="ArialMT" w:eastAsia="Calibri" w:hAnsi="ArialMT" w:cs="ArialMT"/>
          <w:sz w:val="20"/>
          <w:szCs w:val="20"/>
          <w:lang w:val="en-GB" w:eastAsia="de-AT"/>
        </w:rPr>
        <w:t xml:space="preserve"> and </w:t>
      </w:r>
      <w:r w:rsidRPr="00E726BF">
        <w:rPr>
          <w:rFonts w:ascii="ArialMT" w:eastAsia="Calibri" w:hAnsi="ArialMT" w:cs="ArialMT"/>
          <w:sz w:val="20"/>
          <w:szCs w:val="20"/>
          <w:lang w:val="en-GB" w:eastAsia="de-AT"/>
        </w:rPr>
        <w:t>II 2D c 120°C</w:t>
      </w:r>
    </w:p>
    <w:p w:rsidR="000B63EA" w:rsidRPr="00E726BF" w:rsidRDefault="000B63EA" w:rsidP="000B63EA">
      <w:pPr>
        <w:pStyle w:val="Listenabsatz"/>
        <w:numPr>
          <w:ilvl w:val="0"/>
          <w:numId w:val="33"/>
        </w:numPr>
        <w:autoSpaceDE w:val="0"/>
        <w:autoSpaceDN w:val="0"/>
        <w:adjustRightInd w:val="0"/>
        <w:rPr>
          <w:rFonts w:cs="Arial"/>
          <w:sz w:val="20"/>
          <w:szCs w:val="20"/>
          <w:lang w:val="en-GB"/>
        </w:rPr>
      </w:pPr>
      <w:r w:rsidRPr="00E726BF">
        <w:rPr>
          <w:rFonts w:ascii="ArialMT" w:eastAsia="Calibri" w:hAnsi="ArialMT" w:cs="ArialMT"/>
          <w:sz w:val="20"/>
          <w:szCs w:val="20"/>
          <w:lang w:val="en-GB" w:eastAsia="de-AT"/>
        </w:rPr>
        <w:t>Equipment group II category 3: II 3G T4</w:t>
      </w:r>
      <w:r w:rsidR="00E726BF">
        <w:rPr>
          <w:rFonts w:ascii="ArialMT" w:eastAsia="Calibri" w:hAnsi="ArialMT" w:cs="ArialMT"/>
          <w:sz w:val="20"/>
          <w:szCs w:val="20"/>
          <w:lang w:val="en-GB" w:eastAsia="de-AT"/>
        </w:rPr>
        <w:t xml:space="preserve"> and </w:t>
      </w:r>
      <w:r w:rsidRPr="00E726BF">
        <w:rPr>
          <w:rFonts w:ascii="ArialMT" w:eastAsia="Calibri" w:hAnsi="ArialMT" w:cs="ArialMT"/>
          <w:sz w:val="20"/>
          <w:szCs w:val="20"/>
          <w:lang w:val="en-GB" w:eastAsia="de-AT"/>
        </w:rPr>
        <w:t>II 3D 120°C</w:t>
      </w:r>
    </w:p>
    <w:p w:rsidR="00FD38FC" w:rsidRPr="004742FB" w:rsidRDefault="00FD38FC" w:rsidP="004E19E8">
      <w:pPr>
        <w:rPr>
          <w:rFonts w:cs="Arial"/>
          <w:sz w:val="20"/>
          <w:szCs w:val="20"/>
          <w:lang w:val="en-GB"/>
        </w:rPr>
      </w:pPr>
    </w:p>
    <w:p w:rsidR="00FD38FC" w:rsidRPr="004742FB" w:rsidRDefault="00FD38FC" w:rsidP="004E19E8">
      <w:pPr>
        <w:rPr>
          <w:rFonts w:cs="Arial"/>
          <w:sz w:val="20"/>
          <w:szCs w:val="20"/>
          <w:lang w:val="en-GB"/>
        </w:rPr>
      </w:pPr>
    </w:p>
    <w:p w:rsidR="00EA67AC" w:rsidRDefault="00EA67AC" w:rsidP="00EA67AC">
      <w:pPr>
        <w:jc w:val="center"/>
        <w:rPr>
          <w:noProof/>
          <w:sz w:val="20"/>
          <w:szCs w:val="20"/>
          <w:lang w:val="de-AT" w:eastAsia="en-GB"/>
        </w:rPr>
      </w:pPr>
      <w:r>
        <w:rPr>
          <w:noProof/>
          <w:sz w:val="20"/>
          <w:szCs w:val="20"/>
          <w:lang w:val="en-GB" w:eastAsia="en-GB"/>
        </w:rPr>
        <w:drawing>
          <wp:inline distT="0" distB="0" distL="0" distR="0" wp14:anchorId="41E773EA" wp14:editId="6756A675">
            <wp:extent cx="3005666" cy="2016528"/>
            <wp:effectExtent l="0" t="0" r="444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t-explosion-proof-gearbox-72.png"/>
                    <pic:cNvPicPr/>
                  </pic:nvPicPr>
                  <pic:blipFill>
                    <a:blip r:embed="rId12">
                      <a:extLst>
                        <a:ext uri="{28A0092B-C50C-407E-A947-70E740481C1C}">
                          <a14:useLocalDpi xmlns:a14="http://schemas.microsoft.com/office/drawing/2010/main" val="0"/>
                        </a:ext>
                      </a:extLst>
                    </a:blip>
                    <a:stretch>
                      <a:fillRect/>
                    </a:stretch>
                  </pic:blipFill>
                  <pic:spPr>
                    <a:xfrm>
                      <a:off x="0" y="0"/>
                      <a:ext cx="3008652" cy="2018532"/>
                    </a:xfrm>
                    <a:prstGeom prst="rect">
                      <a:avLst/>
                    </a:prstGeom>
                  </pic:spPr>
                </pic:pic>
              </a:graphicData>
            </a:graphic>
          </wp:inline>
        </w:drawing>
      </w:r>
    </w:p>
    <w:p w:rsidR="00EA67AC" w:rsidRPr="004614D2" w:rsidRDefault="00D6441E" w:rsidP="00EA67AC">
      <w:pPr>
        <w:jc w:val="center"/>
        <w:rPr>
          <w:noProof/>
          <w:sz w:val="20"/>
          <w:szCs w:val="20"/>
          <w:lang w:val="en-GB" w:eastAsia="en-GB"/>
        </w:rPr>
      </w:pPr>
      <w:r w:rsidRPr="004614D2">
        <w:rPr>
          <w:noProof/>
          <w:sz w:val="20"/>
          <w:szCs w:val="20"/>
          <w:lang w:val="en-GB" w:eastAsia="en-GB"/>
        </w:rPr>
        <w:t xml:space="preserve">Picture </w:t>
      </w:r>
      <w:r w:rsidR="00EA67AC" w:rsidRPr="004614D2">
        <w:rPr>
          <w:noProof/>
          <w:sz w:val="20"/>
          <w:szCs w:val="20"/>
          <w:lang w:val="en-GB" w:eastAsia="en-GB"/>
        </w:rPr>
        <w:t xml:space="preserve">3: WATT </w:t>
      </w:r>
      <w:r w:rsidRPr="004614D2">
        <w:rPr>
          <w:noProof/>
          <w:sz w:val="20"/>
          <w:szCs w:val="20"/>
          <w:lang w:val="en-GB" w:eastAsia="en-GB"/>
        </w:rPr>
        <w:t xml:space="preserve">helical gearbox with </w:t>
      </w:r>
      <w:r w:rsidR="00EA67AC" w:rsidRPr="004614D2">
        <w:rPr>
          <w:noProof/>
          <w:sz w:val="20"/>
          <w:szCs w:val="20"/>
          <w:lang w:val="en-GB" w:eastAsia="en-GB"/>
        </w:rPr>
        <w:t>W22X</w:t>
      </w:r>
      <w:r w:rsidRPr="004614D2">
        <w:rPr>
          <w:noProof/>
          <w:sz w:val="20"/>
          <w:szCs w:val="20"/>
          <w:lang w:val="en-GB" w:eastAsia="en-GB"/>
        </w:rPr>
        <w:t xml:space="preserve"> </w:t>
      </w:r>
      <w:r w:rsidR="00EA67AC" w:rsidRPr="004614D2">
        <w:rPr>
          <w:noProof/>
          <w:sz w:val="20"/>
          <w:szCs w:val="20"/>
          <w:lang w:val="en-GB" w:eastAsia="en-GB"/>
        </w:rPr>
        <w:t>Motor</w:t>
      </w:r>
    </w:p>
    <w:p w:rsidR="00FD38FC" w:rsidRPr="004614D2" w:rsidRDefault="00FD38FC" w:rsidP="004E19E8">
      <w:pPr>
        <w:rPr>
          <w:rFonts w:cs="Arial"/>
          <w:sz w:val="20"/>
          <w:szCs w:val="20"/>
          <w:lang w:val="en-GB"/>
        </w:rPr>
      </w:pPr>
    </w:p>
    <w:p w:rsidR="00FD38FC" w:rsidRPr="004614D2" w:rsidRDefault="00FD38FC" w:rsidP="004E19E8">
      <w:pPr>
        <w:rPr>
          <w:rFonts w:cs="Arial"/>
          <w:sz w:val="20"/>
          <w:szCs w:val="20"/>
          <w:lang w:val="en-GB"/>
        </w:rPr>
      </w:pPr>
    </w:p>
    <w:p w:rsidR="008F6EB6" w:rsidRPr="004614D2" w:rsidRDefault="008F6EB6" w:rsidP="005D6813">
      <w:pPr>
        <w:rPr>
          <w:rFonts w:cs="Arial"/>
          <w:sz w:val="20"/>
          <w:szCs w:val="20"/>
          <w:lang w:val="en-GB"/>
        </w:rPr>
      </w:pPr>
    </w:p>
    <w:sectPr w:rsidR="008F6EB6" w:rsidRPr="004614D2" w:rsidSect="007C15DD">
      <w:headerReference w:type="even" r:id="rId13"/>
      <w:headerReference w:type="default" r:id="rId14"/>
      <w:footerReference w:type="even" r:id="rId15"/>
      <w:footerReference w:type="default" r:id="rId16"/>
      <w:headerReference w:type="first" r:id="rId17"/>
      <w:footerReference w:type="first" r:id="rId18"/>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CE" w:rsidRDefault="00BF54CE" w:rsidP="00DA2579">
      <w:r>
        <w:separator/>
      </w:r>
    </w:p>
  </w:endnote>
  <w:endnote w:type="continuationSeparator" w:id="0">
    <w:p w:rsidR="00BF54CE" w:rsidRDefault="00BF54CE"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95" w:rsidRDefault="004D08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3D" w:rsidRPr="00DA2579" w:rsidRDefault="00313E3D"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313E3D" w:rsidRPr="00DA2579" w:rsidRDefault="00313E3D"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95" w:rsidRDefault="004D08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CE" w:rsidRDefault="00BF54CE" w:rsidP="00DA2579">
      <w:r>
        <w:separator/>
      </w:r>
    </w:p>
  </w:footnote>
  <w:footnote w:type="continuationSeparator" w:id="0">
    <w:p w:rsidR="00BF54CE" w:rsidRDefault="00BF54CE"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95" w:rsidRDefault="004D08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3D" w:rsidRPr="0077611F" w:rsidRDefault="00313E3D" w:rsidP="0077611F">
    <w:pPr>
      <w:autoSpaceDE w:val="0"/>
      <w:autoSpaceDN w:val="0"/>
      <w:adjustRightInd w:val="0"/>
      <w:rPr>
        <w:rFonts w:cs="Arial"/>
        <w:color w:val="808080"/>
        <w:sz w:val="20"/>
        <w:szCs w:val="20"/>
        <w:lang w:val="en-GB"/>
      </w:rPr>
    </w:pPr>
  </w:p>
  <w:p w:rsidR="00313E3D" w:rsidRPr="00DB2D86" w:rsidRDefault="00313E3D" w:rsidP="0077611F">
    <w:pPr>
      <w:autoSpaceDE w:val="0"/>
      <w:autoSpaceDN w:val="0"/>
      <w:adjustRightInd w:val="0"/>
      <w:rPr>
        <w:rFonts w:cs="Arial"/>
        <w:color w:val="808080"/>
        <w:sz w:val="48"/>
        <w:szCs w:val="48"/>
        <w:lang w:val="en-GB"/>
      </w:rPr>
    </w:pPr>
    <w:r>
      <w:rPr>
        <w:rFonts w:cs="Arial"/>
        <w:color w:val="808080"/>
        <w:sz w:val="48"/>
        <w:szCs w:val="48"/>
        <w:lang w:val="en-GB"/>
      </w:rPr>
      <w:t>Newsletter 11.2012</w:t>
    </w:r>
    <w:r>
      <w:rPr>
        <w:noProof/>
        <w:lang w:val="en-GB" w:eastAsia="en-GB"/>
      </w:rPr>
      <w:drawing>
        <wp:anchor distT="0" distB="0" distL="114300" distR="114300" simplePos="0" relativeHeight="251666432" behindDoc="0" locked="1" layoutInCell="1" allowOverlap="1" wp14:anchorId="0C9A2133" wp14:editId="0FF86318">
          <wp:simplePos x="0" y="0"/>
          <wp:positionH relativeFrom="column">
            <wp:posOffset>4668520</wp:posOffset>
          </wp:positionH>
          <wp:positionV relativeFrom="page">
            <wp:posOffset>568960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p>
  <w:p w:rsidR="00313E3D" w:rsidRPr="00E73AC0" w:rsidRDefault="004D0895" w:rsidP="0077611F">
    <w:pPr>
      <w:rPr>
        <w:rFonts w:cs="Arial"/>
        <w:color w:val="000000"/>
        <w:lang w:val="en-GB"/>
      </w:rPr>
    </w:pPr>
    <w:r>
      <w:rPr>
        <w:rFonts w:cs="Arial"/>
        <w:color w:val="000000"/>
        <w:lang w:val="en-GB"/>
      </w:rPr>
      <w:t>December 05</w:t>
    </w:r>
    <w:r w:rsidR="00313E3D" w:rsidRPr="002D3892">
      <w:rPr>
        <w:rFonts w:cs="Arial"/>
        <w:color w:val="000000"/>
        <w:vertAlign w:val="superscript"/>
        <w:lang w:val="en-GB"/>
      </w:rPr>
      <w:t>th</w:t>
    </w:r>
    <w:r w:rsidR="00313E3D">
      <w:rPr>
        <w:rFonts w:cs="Arial"/>
        <w:color w:val="000000"/>
        <w:lang w:val="en-GB"/>
      </w:rPr>
      <w:t xml:space="preserve"> </w:t>
    </w:r>
    <w:r w:rsidR="00313E3D" w:rsidRPr="00DB2D86">
      <w:rPr>
        <w:rFonts w:cs="Arial"/>
        <w:color w:val="000000"/>
        <w:lang w:val="en-GB"/>
      </w:rPr>
      <w:t>2012</w:t>
    </w:r>
  </w:p>
  <w:p w:rsidR="00313E3D" w:rsidRDefault="00313E3D">
    <w:pPr>
      <w:pStyle w:val="Kopfzeile"/>
    </w:pPr>
    <w:r>
      <w:rPr>
        <w:noProof/>
        <w:lang w:eastAsia="en-GB"/>
      </w:rPr>
      <mc:AlternateContent>
        <mc:Choice Requires="wps">
          <w:drawing>
            <wp:anchor distT="0" distB="0" distL="114300" distR="114300" simplePos="0" relativeHeight="251667456" behindDoc="0" locked="0" layoutInCell="0" allowOverlap="1" wp14:anchorId="46FE40B9" wp14:editId="2305CB1B">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E3D" w:rsidRDefault="00313E3D" w:rsidP="009E7F83">
                          <w:r>
                            <w:rPr>
                              <w:noProof/>
                              <w:lang w:val="en-GB" w:eastAsia="en-GB"/>
                            </w:rPr>
                            <w:drawing>
                              <wp:inline distT="0" distB="0" distL="0" distR="0" wp14:anchorId="630D978A" wp14:editId="1B7B7867">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313E3D" w:rsidRDefault="00313E3D" w:rsidP="009E7F83"/>
                        <w:p w:rsidR="00313E3D" w:rsidRDefault="00313E3D" w:rsidP="009E7F83"/>
                        <w:p w:rsidR="00313E3D" w:rsidRDefault="00313E3D"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313E3D" w:rsidRDefault="00313E3D" w:rsidP="009E7F83">
                    <w:r>
                      <w:rPr>
                        <w:noProof/>
                        <w:lang w:val="en-GB" w:eastAsia="en-GB"/>
                      </w:rPr>
                      <w:drawing>
                        <wp:inline distT="0" distB="0" distL="0" distR="0" wp14:anchorId="630D978A" wp14:editId="1B7B7867">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313E3D" w:rsidRDefault="00313E3D" w:rsidP="009E7F83"/>
                  <w:p w:rsidR="00313E3D" w:rsidRDefault="00313E3D" w:rsidP="009E7F83"/>
                  <w:p w:rsidR="00313E3D" w:rsidRDefault="00313E3D" w:rsidP="009E7F83"/>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95" w:rsidRDefault="004D08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5pt;height:4.05pt" o:bullet="t">
        <v:imagedata r:id="rId1" o:title=""/>
      </v:shape>
    </w:pict>
  </w:numPicBullet>
  <w:numPicBullet w:numPicBulletId="1">
    <w:pict>
      <v:shape id="_x0000_i1034" type="#_x0000_t75" style="width:4.05pt;height:4.0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1">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3">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6">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4">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5">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8">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7"/>
  </w:num>
  <w:num w:numId="4">
    <w:abstractNumId w:val="25"/>
  </w:num>
  <w:num w:numId="5">
    <w:abstractNumId w:val="10"/>
  </w:num>
  <w:num w:numId="6">
    <w:abstractNumId w:val="7"/>
  </w:num>
  <w:num w:numId="7">
    <w:abstractNumId w:val="28"/>
  </w:num>
  <w:num w:numId="8">
    <w:abstractNumId w:val="9"/>
  </w:num>
  <w:num w:numId="9">
    <w:abstractNumId w:val="30"/>
  </w:num>
  <w:num w:numId="10">
    <w:abstractNumId w:val="23"/>
  </w:num>
  <w:num w:numId="11">
    <w:abstractNumId w:val="19"/>
  </w:num>
  <w:num w:numId="12">
    <w:abstractNumId w:val="31"/>
  </w:num>
  <w:num w:numId="13">
    <w:abstractNumId w:val="24"/>
  </w:num>
  <w:num w:numId="14">
    <w:abstractNumId w:val="18"/>
  </w:num>
  <w:num w:numId="15">
    <w:abstractNumId w:val="27"/>
  </w:num>
  <w:num w:numId="16">
    <w:abstractNumId w:val="8"/>
  </w:num>
  <w:num w:numId="17">
    <w:abstractNumId w:val="32"/>
  </w:num>
  <w:num w:numId="18">
    <w:abstractNumId w:val="29"/>
  </w:num>
  <w:num w:numId="19">
    <w:abstractNumId w:val="12"/>
  </w:num>
  <w:num w:numId="20">
    <w:abstractNumId w:val="5"/>
  </w:num>
  <w:num w:numId="21">
    <w:abstractNumId w:val="11"/>
  </w:num>
  <w:num w:numId="22">
    <w:abstractNumId w:val="22"/>
  </w:num>
  <w:num w:numId="23">
    <w:abstractNumId w:val="21"/>
  </w:num>
  <w:num w:numId="24">
    <w:abstractNumId w:val="13"/>
  </w:num>
  <w:num w:numId="25">
    <w:abstractNumId w:val="2"/>
  </w:num>
  <w:num w:numId="26">
    <w:abstractNumId w:val="1"/>
  </w:num>
  <w:num w:numId="27">
    <w:abstractNumId w:val="4"/>
  </w:num>
  <w:num w:numId="28">
    <w:abstractNumId w:val="15"/>
  </w:num>
  <w:num w:numId="29">
    <w:abstractNumId w:val="14"/>
  </w:num>
  <w:num w:numId="30">
    <w:abstractNumId w:val="16"/>
  </w:num>
  <w:num w:numId="31">
    <w:abstractNumId w:val="6"/>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69C4"/>
    <w:rsid w:val="00007B02"/>
    <w:rsid w:val="00010335"/>
    <w:rsid w:val="00042C31"/>
    <w:rsid w:val="00044FF6"/>
    <w:rsid w:val="000459C8"/>
    <w:rsid w:val="00056A4A"/>
    <w:rsid w:val="000728D8"/>
    <w:rsid w:val="00090C77"/>
    <w:rsid w:val="000A43ED"/>
    <w:rsid w:val="000A78A8"/>
    <w:rsid w:val="000B5F13"/>
    <w:rsid w:val="000B63EA"/>
    <w:rsid w:val="000C6AF9"/>
    <w:rsid w:val="000E145E"/>
    <w:rsid w:val="000E2648"/>
    <w:rsid w:val="000E71B3"/>
    <w:rsid w:val="00106390"/>
    <w:rsid w:val="00107B5D"/>
    <w:rsid w:val="0011519C"/>
    <w:rsid w:val="00125E90"/>
    <w:rsid w:val="00133FFC"/>
    <w:rsid w:val="001407B9"/>
    <w:rsid w:val="00140C71"/>
    <w:rsid w:val="001653B0"/>
    <w:rsid w:val="00171EA6"/>
    <w:rsid w:val="0018387B"/>
    <w:rsid w:val="00187A71"/>
    <w:rsid w:val="00187C88"/>
    <w:rsid w:val="001975BF"/>
    <w:rsid w:val="001D0672"/>
    <w:rsid w:val="001D2054"/>
    <w:rsid w:val="001E2F02"/>
    <w:rsid w:val="001F5421"/>
    <w:rsid w:val="001F7E78"/>
    <w:rsid w:val="002058A7"/>
    <w:rsid w:val="002300A9"/>
    <w:rsid w:val="0023254B"/>
    <w:rsid w:val="00240F28"/>
    <w:rsid w:val="00247803"/>
    <w:rsid w:val="0025447B"/>
    <w:rsid w:val="00256F11"/>
    <w:rsid w:val="00275732"/>
    <w:rsid w:val="00275CC0"/>
    <w:rsid w:val="00276FDB"/>
    <w:rsid w:val="00281545"/>
    <w:rsid w:val="0029784A"/>
    <w:rsid w:val="002A3F5E"/>
    <w:rsid w:val="002A4A4B"/>
    <w:rsid w:val="002A7B26"/>
    <w:rsid w:val="002B6A0D"/>
    <w:rsid w:val="002B7706"/>
    <w:rsid w:val="002C009B"/>
    <w:rsid w:val="002D3892"/>
    <w:rsid w:val="002E34E5"/>
    <w:rsid w:val="002F19C9"/>
    <w:rsid w:val="002F6A33"/>
    <w:rsid w:val="00304CAF"/>
    <w:rsid w:val="00313E3D"/>
    <w:rsid w:val="00323735"/>
    <w:rsid w:val="00332CD5"/>
    <w:rsid w:val="00333653"/>
    <w:rsid w:val="00335C02"/>
    <w:rsid w:val="0033700A"/>
    <w:rsid w:val="003372CA"/>
    <w:rsid w:val="00346AD8"/>
    <w:rsid w:val="00352D87"/>
    <w:rsid w:val="00363F7B"/>
    <w:rsid w:val="003740BA"/>
    <w:rsid w:val="00380EF7"/>
    <w:rsid w:val="003908BF"/>
    <w:rsid w:val="00394AA9"/>
    <w:rsid w:val="00395BDF"/>
    <w:rsid w:val="003962A8"/>
    <w:rsid w:val="00397E54"/>
    <w:rsid w:val="003A0130"/>
    <w:rsid w:val="003B5844"/>
    <w:rsid w:val="003B7AE5"/>
    <w:rsid w:val="003D0FA0"/>
    <w:rsid w:val="003D25C9"/>
    <w:rsid w:val="003D509D"/>
    <w:rsid w:val="003D5B3A"/>
    <w:rsid w:val="003E65C3"/>
    <w:rsid w:val="004020D6"/>
    <w:rsid w:val="004218F7"/>
    <w:rsid w:val="00425C58"/>
    <w:rsid w:val="00433AA9"/>
    <w:rsid w:val="0043738F"/>
    <w:rsid w:val="0044169E"/>
    <w:rsid w:val="00454CD1"/>
    <w:rsid w:val="004614D2"/>
    <w:rsid w:val="00467190"/>
    <w:rsid w:val="004742FB"/>
    <w:rsid w:val="00477B1D"/>
    <w:rsid w:val="0048660B"/>
    <w:rsid w:val="00496D4D"/>
    <w:rsid w:val="004A4051"/>
    <w:rsid w:val="004B4EBE"/>
    <w:rsid w:val="004B71D9"/>
    <w:rsid w:val="004C5159"/>
    <w:rsid w:val="004D0895"/>
    <w:rsid w:val="004D1E02"/>
    <w:rsid w:val="004E11D1"/>
    <w:rsid w:val="004E19E8"/>
    <w:rsid w:val="004F6D77"/>
    <w:rsid w:val="0050479E"/>
    <w:rsid w:val="00505749"/>
    <w:rsid w:val="00506E5D"/>
    <w:rsid w:val="005114F0"/>
    <w:rsid w:val="00522726"/>
    <w:rsid w:val="00522CD4"/>
    <w:rsid w:val="00537753"/>
    <w:rsid w:val="00555D2B"/>
    <w:rsid w:val="00557546"/>
    <w:rsid w:val="005623FC"/>
    <w:rsid w:val="005629B3"/>
    <w:rsid w:val="00566D13"/>
    <w:rsid w:val="00576C22"/>
    <w:rsid w:val="005778EA"/>
    <w:rsid w:val="00582DAC"/>
    <w:rsid w:val="00583492"/>
    <w:rsid w:val="005842BB"/>
    <w:rsid w:val="00594B9B"/>
    <w:rsid w:val="005A2959"/>
    <w:rsid w:val="005B7667"/>
    <w:rsid w:val="005C1EA4"/>
    <w:rsid w:val="005C59A8"/>
    <w:rsid w:val="005D20FA"/>
    <w:rsid w:val="005D6813"/>
    <w:rsid w:val="005E181B"/>
    <w:rsid w:val="005E205F"/>
    <w:rsid w:val="005F3CDC"/>
    <w:rsid w:val="0060276D"/>
    <w:rsid w:val="0060678E"/>
    <w:rsid w:val="00612EF1"/>
    <w:rsid w:val="00615EE6"/>
    <w:rsid w:val="00622A16"/>
    <w:rsid w:val="00624DBE"/>
    <w:rsid w:val="00627A02"/>
    <w:rsid w:val="0063306A"/>
    <w:rsid w:val="00633082"/>
    <w:rsid w:val="00636A3B"/>
    <w:rsid w:val="006451CC"/>
    <w:rsid w:val="00655DDB"/>
    <w:rsid w:val="00677722"/>
    <w:rsid w:val="00691596"/>
    <w:rsid w:val="006969E9"/>
    <w:rsid w:val="006B28A9"/>
    <w:rsid w:val="006B5DA2"/>
    <w:rsid w:val="006B624B"/>
    <w:rsid w:val="006B7CEC"/>
    <w:rsid w:val="006C0DA1"/>
    <w:rsid w:val="006C796A"/>
    <w:rsid w:val="006D0FDC"/>
    <w:rsid w:val="006E607B"/>
    <w:rsid w:val="007014D9"/>
    <w:rsid w:val="00704D31"/>
    <w:rsid w:val="0070718E"/>
    <w:rsid w:val="007124E4"/>
    <w:rsid w:val="00717A03"/>
    <w:rsid w:val="007353D5"/>
    <w:rsid w:val="00756AEB"/>
    <w:rsid w:val="00766C7B"/>
    <w:rsid w:val="00766E3A"/>
    <w:rsid w:val="0077611F"/>
    <w:rsid w:val="007776DA"/>
    <w:rsid w:val="0079127C"/>
    <w:rsid w:val="007A57B8"/>
    <w:rsid w:val="007C15DD"/>
    <w:rsid w:val="007C2F34"/>
    <w:rsid w:val="007C5214"/>
    <w:rsid w:val="007D3F17"/>
    <w:rsid w:val="007E09C3"/>
    <w:rsid w:val="007E50D3"/>
    <w:rsid w:val="007F0849"/>
    <w:rsid w:val="007F2178"/>
    <w:rsid w:val="007F3359"/>
    <w:rsid w:val="008027C5"/>
    <w:rsid w:val="00816AB5"/>
    <w:rsid w:val="00820A40"/>
    <w:rsid w:val="00823D22"/>
    <w:rsid w:val="00823D2B"/>
    <w:rsid w:val="00826A70"/>
    <w:rsid w:val="0083117E"/>
    <w:rsid w:val="00832227"/>
    <w:rsid w:val="00836C3F"/>
    <w:rsid w:val="00845EEA"/>
    <w:rsid w:val="00846EDC"/>
    <w:rsid w:val="00854328"/>
    <w:rsid w:val="008702C2"/>
    <w:rsid w:val="008703FE"/>
    <w:rsid w:val="00871CA3"/>
    <w:rsid w:val="00872EF8"/>
    <w:rsid w:val="0088694F"/>
    <w:rsid w:val="00892F87"/>
    <w:rsid w:val="00893908"/>
    <w:rsid w:val="00897000"/>
    <w:rsid w:val="008A12EC"/>
    <w:rsid w:val="008B0107"/>
    <w:rsid w:val="008B288E"/>
    <w:rsid w:val="008B55CB"/>
    <w:rsid w:val="008B570C"/>
    <w:rsid w:val="008C1F91"/>
    <w:rsid w:val="008C6543"/>
    <w:rsid w:val="008D3644"/>
    <w:rsid w:val="008D4624"/>
    <w:rsid w:val="008D6129"/>
    <w:rsid w:val="008E0176"/>
    <w:rsid w:val="008E2795"/>
    <w:rsid w:val="008E64EC"/>
    <w:rsid w:val="008F5AEB"/>
    <w:rsid w:val="008F6EB6"/>
    <w:rsid w:val="009425C2"/>
    <w:rsid w:val="009427B9"/>
    <w:rsid w:val="0094324B"/>
    <w:rsid w:val="009442BB"/>
    <w:rsid w:val="0094572E"/>
    <w:rsid w:val="00945AF9"/>
    <w:rsid w:val="00966BA2"/>
    <w:rsid w:val="00981B57"/>
    <w:rsid w:val="009918E8"/>
    <w:rsid w:val="00992F41"/>
    <w:rsid w:val="009B34A9"/>
    <w:rsid w:val="009D0B5A"/>
    <w:rsid w:val="009D0E88"/>
    <w:rsid w:val="009D5DCE"/>
    <w:rsid w:val="009E7F83"/>
    <w:rsid w:val="009F4163"/>
    <w:rsid w:val="009F4454"/>
    <w:rsid w:val="00A025AE"/>
    <w:rsid w:val="00A056C7"/>
    <w:rsid w:val="00A06974"/>
    <w:rsid w:val="00A07602"/>
    <w:rsid w:val="00A10F28"/>
    <w:rsid w:val="00A17599"/>
    <w:rsid w:val="00A2025E"/>
    <w:rsid w:val="00A321B4"/>
    <w:rsid w:val="00A34BBE"/>
    <w:rsid w:val="00A4679E"/>
    <w:rsid w:val="00A66B78"/>
    <w:rsid w:val="00A71BA2"/>
    <w:rsid w:val="00A747BB"/>
    <w:rsid w:val="00A76FFC"/>
    <w:rsid w:val="00A976B9"/>
    <w:rsid w:val="00AA268E"/>
    <w:rsid w:val="00AA344E"/>
    <w:rsid w:val="00AA6757"/>
    <w:rsid w:val="00AB010B"/>
    <w:rsid w:val="00AB60D0"/>
    <w:rsid w:val="00AB72EF"/>
    <w:rsid w:val="00AC1062"/>
    <w:rsid w:val="00AD048D"/>
    <w:rsid w:val="00AE0CC0"/>
    <w:rsid w:val="00AF33E7"/>
    <w:rsid w:val="00AF4996"/>
    <w:rsid w:val="00B05AA4"/>
    <w:rsid w:val="00B12B56"/>
    <w:rsid w:val="00B32D81"/>
    <w:rsid w:val="00B45D18"/>
    <w:rsid w:val="00B553E6"/>
    <w:rsid w:val="00B60AAB"/>
    <w:rsid w:val="00B66DD7"/>
    <w:rsid w:val="00B71D6F"/>
    <w:rsid w:val="00B723A2"/>
    <w:rsid w:val="00B80A75"/>
    <w:rsid w:val="00B83441"/>
    <w:rsid w:val="00B877C5"/>
    <w:rsid w:val="00B950BC"/>
    <w:rsid w:val="00BA6C19"/>
    <w:rsid w:val="00BB3775"/>
    <w:rsid w:val="00BC498E"/>
    <w:rsid w:val="00BD1256"/>
    <w:rsid w:val="00BD50C1"/>
    <w:rsid w:val="00BD6B35"/>
    <w:rsid w:val="00BF0DFB"/>
    <w:rsid w:val="00BF54CE"/>
    <w:rsid w:val="00BF64DF"/>
    <w:rsid w:val="00BF65B3"/>
    <w:rsid w:val="00BF7F91"/>
    <w:rsid w:val="00C06579"/>
    <w:rsid w:val="00C06E9A"/>
    <w:rsid w:val="00C202FE"/>
    <w:rsid w:val="00C23698"/>
    <w:rsid w:val="00C430CF"/>
    <w:rsid w:val="00C44EAA"/>
    <w:rsid w:val="00C452FA"/>
    <w:rsid w:val="00C5502C"/>
    <w:rsid w:val="00C62DB3"/>
    <w:rsid w:val="00C67818"/>
    <w:rsid w:val="00C766C4"/>
    <w:rsid w:val="00C95A11"/>
    <w:rsid w:val="00CB743E"/>
    <w:rsid w:val="00CC442E"/>
    <w:rsid w:val="00CC7632"/>
    <w:rsid w:val="00CE1BF6"/>
    <w:rsid w:val="00CE3382"/>
    <w:rsid w:val="00CE36B0"/>
    <w:rsid w:val="00CF0C28"/>
    <w:rsid w:val="00D01ACC"/>
    <w:rsid w:val="00D13D1B"/>
    <w:rsid w:val="00D31F28"/>
    <w:rsid w:val="00D33359"/>
    <w:rsid w:val="00D410D4"/>
    <w:rsid w:val="00D51D38"/>
    <w:rsid w:val="00D60EDD"/>
    <w:rsid w:val="00D6441E"/>
    <w:rsid w:val="00D66FDC"/>
    <w:rsid w:val="00D81996"/>
    <w:rsid w:val="00D83407"/>
    <w:rsid w:val="00D8582B"/>
    <w:rsid w:val="00DA00B6"/>
    <w:rsid w:val="00DA2579"/>
    <w:rsid w:val="00DA43A3"/>
    <w:rsid w:val="00DA784A"/>
    <w:rsid w:val="00DA7C20"/>
    <w:rsid w:val="00DB2D86"/>
    <w:rsid w:val="00DB5FC0"/>
    <w:rsid w:val="00DB6105"/>
    <w:rsid w:val="00DC5CF6"/>
    <w:rsid w:val="00DE710C"/>
    <w:rsid w:val="00DF0A5D"/>
    <w:rsid w:val="00DF54E8"/>
    <w:rsid w:val="00E0601F"/>
    <w:rsid w:val="00E10E1D"/>
    <w:rsid w:val="00E27AC6"/>
    <w:rsid w:val="00E3541C"/>
    <w:rsid w:val="00E442EC"/>
    <w:rsid w:val="00E579FB"/>
    <w:rsid w:val="00E63C04"/>
    <w:rsid w:val="00E726BF"/>
    <w:rsid w:val="00E73AC0"/>
    <w:rsid w:val="00E826AF"/>
    <w:rsid w:val="00E93D93"/>
    <w:rsid w:val="00EA2166"/>
    <w:rsid w:val="00EA21FE"/>
    <w:rsid w:val="00EA67AC"/>
    <w:rsid w:val="00EB0C81"/>
    <w:rsid w:val="00EB13B5"/>
    <w:rsid w:val="00EB5913"/>
    <w:rsid w:val="00EB6055"/>
    <w:rsid w:val="00EC7950"/>
    <w:rsid w:val="00ED073B"/>
    <w:rsid w:val="00ED2F96"/>
    <w:rsid w:val="00ED4058"/>
    <w:rsid w:val="00ED4381"/>
    <w:rsid w:val="00ED4E4C"/>
    <w:rsid w:val="00EF39B7"/>
    <w:rsid w:val="00F12D67"/>
    <w:rsid w:val="00F1549F"/>
    <w:rsid w:val="00F17BF2"/>
    <w:rsid w:val="00F313EE"/>
    <w:rsid w:val="00F3271F"/>
    <w:rsid w:val="00F44D0D"/>
    <w:rsid w:val="00F47932"/>
    <w:rsid w:val="00F502EA"/>
    <w:rsid w:val="00F56BAE"/>
    <w:rsid w:val="00F57F19"/>
    <w:rsid w:val="00F621DB"/>
    <w:rsid w:val="00F760BD"/>
    <w:rsid w:val="00FA12A0"/>
    <w:rsid w:val="00FB00EE"/>
    <w:rsid w:val="00FC0A81"/>
    <w:rsid w:val="00FC2160"/>
    <w:rsid w:val="00FC539C"/>
    <w:rsid w:val="00FC7275"/>
    <w:rsid w:val="00FC7A46"/>
    <w:rsid w:val="00FD2320"/>
    <w:rsid w:val="00FD38FC"/>
    <w:rsid w:val="00FE131D"/>
    <w:rsid w:val="00FF30F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8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net/uk/Products-Services/Electric-Motors/IEC-Hazardous-Area-Applica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70.jpe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D68C-6453-457A-BD1A-9B196446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463</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82</cp:revision>
  <cp:lastPrinted>2012-12-04T16:30:00Z</cp:lastPrinted>
  <dcterms:created xsi:type="dcterms:W3CDTF">2012-11-29T08:52:00Z</dcterms:created>
  <dcterms:modified xsi:type="dcterms:W3CDTF">2012-12-05T13:20:00Z</dcterms:modified>
</cp:coreProperties>
</file>