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AF" w:rsidRDefault="00496D4D" w:rsidP="004E19E8">
      <w:pPr>
        <w:rPr>
          <w:b/>
          <w:noProof/>
          <w:sz w:val="24"/>
          <w:u w:val="single"/>
          <w:lang w:val="de-AT" w:eastAsia="en-GB"/>
        </w:rPr>
      </w:pPr>
      <w:r>
        <w:rPr>
          <w:b/>
          <w:noProof/>
          <w:sz w:val="24"/>
          <w:u w:val="single"/>
          <w:lang w:val="de-AT" w:eastAsia="en-GB"/>
        </w:rPr>
        <w:t xml:space="preserve">WEG </w:t>
      </w:r>
      <w:r w:rsidR="00E826AF">
        <w:rPr>
          <w:b/>
          <w:noProof/>
          <w:sz w:val="24"/>
          <w:u w:val="single"/>
          <w:lang w:val="de-AT" w:eastAsia="en-GB"/>
        </w:rPr>
        <w:t>W22</w:t>
      </w:r>
      <w:r w:rsidR="00346AD8">
        <w:rPr>
          <w:b/>
          <w:noProof/>
          <w:sz w:val="24"/>
          <w:u w:val="single"/>
          <w:lang w:val="de-AT" w:eastAsia="en-GB"/>
        </w:rPr>
        <w:t xml:space="preserve"> </w:t>
      </w:r>
      <w:r>
        <w:rPr>
          <w:b/>
          <w:noProof/>
          <w:sz w:val="24"/>
          <w:u w:val="single"/>
          <w:lang w:val="de-AT" w:eastAsia="en-GB"/>
        </w:rPr>
        <w:t>-</w:t>
      </w:r>
      <w:r w:rsidR="00346AD8">
        <w:rPr>
          <w:b/>
          <w:noProof/>
          <w:sz w:val="24"/>
          <w:u w:val="single"/>
          <w:lang w:val="de-AT" w:eastAsia="en-GB"/>
        </w:rPr>
        <w:t xml:space="preserve"> </w:t>
      </w:r>
      <w:r>
        <w:rPr>
          <w:b/>
          <w:noProof/>
          <w:sz w:val="24"/>
          <w:u w:val="single"/>
          <w:lang w:val="de-AT" w:eastAsia="en-GB"/>
        </w:rPr>
        <w:t xml:space="preserve">Motoren </w:t>
      </w:r>
      <w:r w:rsidR="00A747BB">
        <w:rPr>
          <w:b/>
          <w:noProof/>
          <w:sz w:val="24"/>
          <w:u w:val="single"/>
          <w:lang w:val="de-AT" w:eastAsia="en-GB"/>
        </w:rPr>
        <w:t xml:space="preserve">für </w:t>
      </w:r>
      <w:r w:rsidR="00AF33E7">
        <w:rPr>
          <w:b/>
          <w:noProof/>
          <w:sz w:val="24"/>
          <w:u w:val="single"/>
          <w:lang w:val="de-AT" w:eastAsia="en-GB"/>
        </w:rPr>
        <w:t>Gegenwart und</w:t>
      </w:r>
      <w:r w:rsidR="00A747BB">
        <w:rPr>
          <w:b/>
          <w:noProof/>
          <w:sz w:val="24"/>
          <w:u w:val="single"/>
          <w:lang w:val="de-AT" w:eastAsia="en-GB"/>
        </w:rPr>
        <w:t xml:space="preserve"> </w:t>
      </w:r>
      <w:r w:rsidR="00E826AF">
        <w:rPr>
          <w:b/>
          <w:noProof/>
          <w:sz w:val="24"/>
          <w:u w:val="single"/>
          <w:lang w:val="de-AT" w:eastAsia="en-GB"/>
        </w:rPr>
        <w:t>Zukunft.</w:t>
      </w:r>
    </w:p>
    <w:p w:rsidR="00E826AF" w:rsidRDefault="00E826AF" w:rsidP="004E19E8">
      <w:pPr>
        <w:rPr>
          <w:b/>
          <w:noProof/>
          <w:sz w:val="24"/>
          <w:u w:val="single"/>
          <w:lang w:val="de-AT" w:eastAsia="en-GB"/>
        </w:rPr>
      </w:pPr>
    </w:p>
    <w:p w:rsidR="00537753" w:rsidRPr="005C1622" w:rsidRDefault="00E826AF" w:rsidP="004E19E8">
      <w:pPr>
        <w:rPr>
          <w:rFonts w:cs="Arial"/>
          <w:b/>
          <w:sz w:val="20"/>
          <w:szCs w:val="20"/>
          <w:lang w:val="de-AT"/>
        </w:rPr>
      </w:pPr>
      <w:r w:rsidRPr="005C1622">
        <w:rPr>
          <w:rFonts w:cs="Arial"/>
          <w:b/>
          <w:sz w:val="20"/>
          <w:szCs w:val="20"/>
          <w:lang w:val="de-AT"/>
        </w:rPr>
        <w:t xml:space="preserve">Der aktuell gültige Energieeffizienzstandard IE2 wird im Jahr 2015 durch den IE3 Standard abgelöst. Innerhalb der EU dürfen </w:t>
      </w:r>
      <w:r w:rsidR="000069C4" w:rsidRPr="005C1622">
        <w:rPr>
          <w:rFonts w:cs="Arial"/>
          <w:b/>
          <w:sz w:val="20"/>
          <w:szCs w:val="20"/>
          <w:lang w:val="de-AT"/>
        </w:rPr>
        <w:t xml:space="preserve">ab </w:t>
      </w:r>
      <w:r w:rsidR="00537753" w:rsidRPr="005C1622">
        <w:rPr>
          <w:rFonts w:cs="Arial"/>
          <w:b/>
          <w:sz w:val="20"/>
          <w:szCs w:val="20"/>
          <w:lang w:val="de-AT"/>
        </w:rPr>
        <w:t>diesem Zeitpunkt</w:t>
      </w:r>
      <w:r w:rsidR="000069C4" w:rsidRPr="005C1622">
        <w:rPr>
          <w:rFonts w:cs="Arial"/>
          <w:b/>
          <w:sz w:val="20"/>
          <w:szCs w:val="20"/>
          <w:lang w:val="de-AT"/>
        </w:rPr>
        <w:t xml:space="preserve"> </w:t>
      </w:r>
      <w:r w:rsidRPr="005C1622">
        <w:rPr>
          <w:rFonts w:cs="Arial"/>
          <w:b/>
          <w:sz w:val="20"/>
          <w:szCs w:val="20"/>
          <w:lang w:val="de-AT"/>
        </w:rPr>
        <w:t xml:space="preserve">nur noch </w:t>
      </w:r>
      <w:r w:rsidR="00537753" w:rsidRPr="005C1622">
        <w:rPr>
          <w:rFonts w:cs="Arial"/>
          <w:b/>
          <w:sz w:val="20"/>
          <w:szCs w:val="20"/>
          <w:lang w:val="de-AT"/>
        </w:rPr>
        <w:t>IE3-</w:t>
      </w:r>
      <w:r w:rsidRPr="005C1622">
        <w:rPr>
          <w:rFonts w:cs="Arial"/>
          <w:b/>
          <w:sz w:val="20"/>
          <w:szCs w:val="20"/>
          <w:lang w:val="de-AT"/>
        </w:rPr>
        <w:t>Motoren</w:t>
      </w:r>
      <w:r w:rsidR="00537753" w:rsidRPr="005C1622">
        <w:rPr>
          <w:rFonts w:cs="Arial"/>
          <w:b/>
          <w:sz w:val="20"/>
          <w:szCs w:val="20"/>
          <w:lang w:val="de-AT"/>
        </w:rPr>
        <w:t xml:space="preserve"> bzw. IE2 Motoren mit Drehzahlregelung</w:t>
      </w:r>
      <w:r w:rsidR="00BD1256" w:rsidRPr="005C1622">
        <w:rPr>
          <w:rFonts w:cs="Arial"/>
          <w:b/>
          <w:sz w:val="20"/>
          <w:szCs w:val="20"/>
          <w:lang w:val="de-AT"/>
        </w:rPr>
        <w:t xml:space="preserve"> </w:t>
      </w:r>
      <w:r w:rsidRPr="005C1622">
        <w:rPr>
          <w:rFonts w:cs="Arial"/>
          <w:b/>
          <w:sz w:val="20"/>
          <w:szCs w:val="20"/>
          <w:lang w:val="de-AT"/>
        </w:rPr>
        <w:t>in Verkehr gebracht werden</w:t>
      </w:r>
      <w:r w:rsidR="00537753" w:rsidRPr="005C1622">
        <w:rPr>
          <w:rFonts w:cs="Arial"/>
          <w:b/>
          <w:sz w:val="20"/>
          <w:szCs w:val="20"/>
          <w:lang w:val="de-AT"/>
        </w:rPr>
        <w:t>. Dieser Vorschrift unterliegen 2,</w:t>
      </w:r>
      <w:r w:rsidR="00E37390">
        <w:rPr>
          <w:rFonts w:cs="Arial"/>
          <w:b/>
          <w:sz w:val="20"/>
          <w:szCs w:val="20"/>
          <w:lang w:val="de-AT"/>
        </w:rPr>
        <w:t xml:space="preserve"> </w:t>
      </w:r>
      <w:r w:rsidR="00537753" w:rsidRPr="005C1622">
        <w:rPr>
          <w:rFonts w:cs="Arial"/>
          <w:b/>
          <w:sz w:val="20"/>
          <w:szCs w:val="20"/>
          <w:lang w:val="de-AT"/>
        </w:rPr>
        <w:t>4,</w:t>
      </w:r>
      <w:r w:rsidR="00E37390">
        <w:rPr>
          <w:rFonts w:cs="Arial"/>
          <w:b/>
          <w:sz w:val="20"/>
          <w:szCs w:val="20"/>
          <w:lang w:val="de-AT"/>
        </w:rPr>
        <w:t xml:space="preserve"> </w:t>
      </w:r>
      <w:r w:rsidR="00537753" w:rsidRPr="005C1622">
        <w:rPr>
          <w:rFonts w:cs="Arial"/>
          <w:b/>
          <w:sz w:val="20"/>
          <w:szCs w:val="20"/>
          <w:lang w:val="de-AT"/>
        </w:rPr>
        <w:t>6</w:t>
      </w:r>
      <w:r w:rsidR="00E37390">
        <w:rPr>
          <w:rFonts w:cs="Arial"/>
          <w:b/>
          <w:sz w:val="20"/>
          <w:szCs w:val="20"/>
          <w:lang w:val="de-AT"/>
        </w:rPr>
        <w:t>-</w:t>
      </w:r>
      <w:r w:rsidR="00537753" w:rsidRPr="005C1622">
        <w:rPr>
          <w:rFonts w:cs="Arial"/>
          <w:b/>
          <w:sz w:val="20"/>
          <w:szCs w:val="20"/>
          <w:lang w:val="de-AT"/>
        </w:rPr>
        <w:t xml:space="preserve">polige Motoren innerhalb des Leistungsbereichs von 7,5 </w:t>
      </w:r>
      <w:r w:rsidR="00E37390">
        <w:rPr>
          <w:rFonts w:cs="Arial"/>
          <w:b/>
          <w:sz w:val="20"/>
          <w:szCs w:val="20"/>
          <w:lang w:val="de-AT"/>
        </w:rPr>
        <w:t xml:space="preserve">- </w:t>
      </w:r>
      <w:r w:rsidR="00537753" w:rsidRPr="005C1622">
        <w:rPr>
          <w:rFonts w:cs="Arial"/>
          <w:b/>
          <w:sz w:val="20"/>
          <w:szCs w:val="20"/>
          <w:lang w:val="de-AT"/>
        </w:rPr>
        <w:t>375 kW.</w:t>
      </w:r>
    </w:p>
    <w:p w:rsidR="00816AB5" w:rsidRDefault="00AF33E7" w:rsidP="004E19E8">
      <w:pPr>
        <w:rPr>
          <w:rFonts w:cs="Arial"/>
          <w:sz w:val="20"/>
          <w:szCs w:val="20"/>
          <w:lang w:val="de-AT"/>
        </w:rPr>
      </w:pPr>
      <w:r>
        <w:rPr>
          <w:rFonts w:cs="Arial"/>
          <w:sz w:val="20"/>
          <w:szCs w:val="20"/>
          <w:lang w:val="de-AT"/>
        </w:rPr>
        <w:t xml:space="preserve"> </w:t>
      </w:r>
    </w:p>
    <w:p w:rsidR="000069C4" w:rsidRDefault="00E826AF" w:rsidP="004E19E8">
      <w:pPr>
        <w:rPr>
          <w:rFonts w:cs="Arial"/>
          <w:sz w:val="20"/>
          <w:szCs w:val="20"/>
          <w:lang w:val="de-AT"/>
        </w:rPr>
      </w:pPr>
      <w:r>
        <w:rPr>
          <w:rFonts w:cs="Arial"/>
          <w:sz w:val="20"/>
          <w:szCs w:val="20"/>
          <w:lang w:val="de-AT"/>
        </w:rPr>
        <w:t xml:space="preserve">Die Motorlinie W22 von WEG </w:t>
      </w:r>
      <w:r w:rsidR="007336B5">
        <w:rPr>
          <w:rFonts w:cs="Arial"/>
          <w:sz w:val="20"/>
          <w:szCs w:val="20"/>
          <w:lang w:val="de-AT"/>
        </w:rPr>
        <w:t>(</w:t>
      </w:r>
      <w:r w:rsidR="007F4EAC">
        <w:rPr>
          <w:rFonts w:cs="Arial"/>
          <w:sz w:val="20"/>
          <w:szCs w:val="20"/>
          <w:lang w:val="de-AT"/>
        </w:rPr>
        <w:t xml:space="preserve">siehe </w:t>
      </w:r>
      <w:r w:rsidR="007336B5">
        <w:rPr>
          <w:rFonts w:cs="Arial"/>
          <w:sz w:val="20"/>
          <w:szCs w:val="20"/>
          <w:lang w:val="de-AT"/>
        </w:rPr>
        <w:t xml:space="preserve">Bild 1) </w:t>
      </w:r>
      <w:r>
        <w:rPr>
          <w:rFonts w:cs="Arial"/>
          <w:sz w:val="20"/>
          <w:szCs w:val="20"/>
          <w:lang w:val="de-AT"/>
        </w:rPr>
        <w:t xml:space="preserve">wurde unter </w:t>
      </w:r>
      <w:r w:rsidR="00AF33E7">
        <w:rPr>
          <w:rFonts w:cs="Arial"/>
          <w:sz w:val="20"/>
          <w:szCs w:val="20"/>
          <w:lang w:val="de-AT"/>
        </w:rPr>
        <w:t>a</w:t>
      </w:r>
      <w:r>
        <w:rPr>
          <w:rFonts w:cs="Arial"/>
          <w:sz w:val="20"/>
          <w:szCs w:val="20"/>
          <w:lang w:val="de-AT"/>
        </w:rPr>
        <w:t>nderem diesen Forderungen entsprechend entwickelt.</w:t>
      </w:r>
      <w:r w:rsidR="009D0E88">
        <w:rPr>
          <w:rFonts w:cs="Arial"/>
          <w:sz w:val="20"/>
          <w:szCs w:val="20"/>
          <w:lang w:val="de-AT"/>
        </w:rPr>
        <w:t xml:space="preserve"> </w:t>
      </w:r>
      <w:r w:rsidR="000069C4">
        <w:rPr>
          <w:rFonts w:cs="Arial"/>
          <w:sz w:val="20"/>
          <w:szCs w:val="20"/>
          <w:lang w:val="de-AT"/>
        </w:rPr>
        <w:t>WEG besitzt die Technologie</w:t>
      </w:r>
      <w:r w:rsidR="0023254B">
        <w:rPr>
          <w:rFonts w:cs="Arial"/>
          <w:sz w:val="20"/>
          <w:szCs w:val="20"/>
          <w:lang w:val="de-AT"/>
        </w:rPr>
        <w:t xml:space="preserve">, </w:t>
      </w:r>
      <w:r w:rsidR="000069C4">
        <w:rPr>
          <w:rFonts w:cs="Arial"/>
          <w:sz w:val="20"/>
          <w:szCs w:val="20"/>
          <w:lang w:val="de-AT"/>
        </w:rPr>
        <w:t>be</w:t>
      </w:r>
      <w:r w:rsidR="009D0E88">
        <w:rPr>
          <w:rFonts w:cs="Arial"/>
          <w:sz w:val="20"/>
          <w:szCs w:val="20"/>
          <w:lang w:val="de-AT"/>
        </w:rPr>
        <w:t>ide Energieeffizienzklassen</w:t>
      </w:r>
      <w:r w:rsidR="0023254B">
        <w:rPr>
          <w:rFonts w:cs="Arial"/>
          <w:sz w:val="20"/>
          <w:szCs w:val="20"/>
          <w:lang w:val="de-AT"/>
        </w:rPr>
        <w:t xml:space="preserve"> </w:t>
      </w:r>
      <w:r w:rsidR="009D0E88">
        <w:rPr>
          <w:rFonts w:cs="Arial"/>
          <w:sz w:val="20"/>
          <w:szCs w:val="20"/>
          <w:lang w:val="de-AT"/>
        </w:rPr>
        <w:t>IE2 und IE3</w:t>
      </w:r>
      <w:r w:rsidR="0023254B">
        <w:rPr>
          <w:rFonts w:cs="Arial"/>
          <w:sz w:val="20"/>
          <w:szCs w:val="20"/>
          <w:lang w:val="de-AT"/>
        </w:rPr>
        <w:t xml:space="preserve"> </w:t>
      </w:r>
      <w:r w:rsidR="000069C4">
        <w:rPr>
          <w:rFonts w:cs="Arial"/>
          <w:sz w:val="20"/>
          <w:szCs w:val="20"/>
          <w:lang w:val="de-AT"/>
        </w:rPr>
        <w:t xml:space="preserve">in einem Motorgehäuse zu vereinen. </w:t>
      </w:r>
      <w:r w:rsidR="00816AB5">
        <w:rPr>
          <w:rFonts w:cs="Arial"/>
          <w:sz w:val="20"/>
          <w:szCs w:val="20"/>
          <w:lang w:val="de-AT"/>
        </w:rPr>
        <w:t xml:space="preserve"> </w:t>
      </w:r>
    </w:p>
    <w:p w:rsidR="000069C4" w:rsidRDefault="000069C4" w:rsidP="004E19E8">
      <w:pPr>
        <w:rPr>
          <w:rFonts w:cs="Arial"/>
          <w:sz w:val="20"/>
          <w:szCs w:val="20"/>
          <w:lang w:val="de-AT"/>
        </w:rPr>
      </w:pPr>
    </w:p>
    <w:p w:rsidR="0070150C" w:rsidRDefault="0070150C" w:rsidP="0070150C">
      <w:pPr>
        <w:jc w:val="center"/>
        <w:rPr>
          <w:noProof/>
          <w:sz w:val="20"/>
          <w:szCs w:val="20"/>
          <w:lang w:val="de-AT" w:eastAsia="en-GB"/>
        </w:rPr>
      </w:pPr>
      <w:r>
        <w:rPr>
          <w:noProof/>
          <w:sz w:val="20"/>
          <w:szCs w:val="20"/>
          <w:lang w:val="en-GB" w:eastAsia="en-GB"/>
        </w:rPr>
        <w:drawing>
          <wp:inline distT="0" distB="0" distL="0" distR="0" wp14:anchorId="6521A143" wp14:editId="56348512">
            <wp:extent cx="2099463" cy="2099463"/>
            <wp:effectExtent l="0" t="0" r="0" b="0"/>
            <wp:docPr id="1" name="Grafik 1" descr="C:\Daten\11media\2012_11media_Joomla2.5_Zoo\grafiken\news\2012-10\weg-w22-motor-si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en\11media\2012_11media_Joomla2.5_Zoo\grafiken\news\2012-10\weg-w22-motor-sing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381" cy="2099381"/>
                    </a:xfrm>
                    <a:prstGeom prst="rect">
                      <a:avLst/>
                    </a:prstGeom>
                    <a:noFill/>
                    <a:ln>
                      <a:noFill/>
                    </a:ln>
                  </pic:spPr>
                </pic:pic>
              </a:graphicData>
            </a:graphic>
          </wp:inline>
        </w:drawing>
      </w:r>
    </w:p>
    <w:p w:rsidR="0070150C" w:rsidRPr="0070150C" w:rsidRDefault="0070150C" w:rsidP="0070150C">
      <w:pPr>
        <w:jc w:val="center"/>
        <w:rPr>
          <w:noProof/>
          <w:sz w:val="20"/>
          <w:szCs w:val="20"/>
          <w:lang w:val="de-AT" w:eastAsia="en-GB"/>
        </w:rPr>
      </w:pPr>
      <w:r w:rsidRPr="0070150C">
        <w:rPr>
          <w:noProof/>
          <w:sz w:val="20"/>
          <w:szCs w:val="20"/>
          <w:lang w:val="de-AT" w:eastAsia="en-GB"/>
        </w:rPr>
        <w:t>Bild 1: WEG W22-Motor</w:t>
      </w:r>
    </w:p>
    <w:p w:rsidR="0070150C" w:rsidRDefault="0070150C" w:rsidP="004E19E8">
      <w:pPr>
        <w:rPr>
          <w:rFonts w:cs="Arial"/>
          <w:sz w:val="20"/>
          <w:szCs w:val="20"/>
          <w:lang w:val="de-AT"/>
        </w:rPr>
      </w:pPr>
    </w:p>
    <w:p w:rsidR="007E0C65" w:rsidRDefault="007E0C65" w:rsidP="004E19E8">
      <w:pPr>
        <w:rPr>
          <w:rFonts w:cs="Arial"/>
          <w:sz w:val="20"/>
          <w:szCs w:val="20"/>
          <w:lang w:val="de-AT"/>
        </w:rPr>
      </w:pPr>
    </w:p>
    <w:p w:rsidR="000069C4" w:rsidRDefault="00E826AF" w:rsidP="004E19E8">
      <w:pPr>
        <w:rPr>
          <w:rFonts w:cs="Arial"/>
          <w:sz w:val="20"/>
          <w:szCs w:val="20"/>
          <w:lang w:val="de-AT"/>
        </w:rPr>
      </w:pPr>
      <w:r>
        <w:rPr>
          <w:rFonts w:cs="Arial"/>
          <w:sz w:val="20"/>
          <w:szCs w:val="20"/>
          <w:lang w:val="de-AT"/>
        </w:rPr>
        <w:t>Anwender die ab 2015 Anlagenteile</w:t>
      </w:r>
      <w:r w:rsidR="00AF33E7">
        <w:rPr>
          <w:rFonts w:cs="Arial"/>
          <w:sz w:val="20"/>
          <w:szCs w:val="20"/>
          <w:lang w:val="de-AT"/>
        </w:rPr>
        <w:t xml:space="preserve"> mit neuen Motoren ausrüsten</w:t>
      </w:r>
      <w:r w:rsidR="00816AB5">
        <w:rPr>
          <w:rFonts w:cs="Arial"/>
          <w:sz w:val="20"/>
          <w:szCs w:val="20"/>
          <w:lang w:val="de-AT"/>
        </w:rPr>
        <w:t xml:space="preserve"> müssen,</w:t>
      </w:r>
      <w:r w:rsidR="00AF33E7">
        <w:rPr>
          <w:rFonts w:cs="Arial"/>
          <w:sz w:val="20"/>
          <w:szCs w:val="20"/>
          <w:lang w:val="de-AT"/>
        </w:rPr>
        <w:t xml:space="preserve"> haben</w:t>
      </w:r>
      <w:r w:rsidR="00816AB5">
        <w:rPr>
          <w:rFonts w:cs="Arial"/>
          <w:sz w:val="20"/>
          <w:szCs w:val="20"/>
          <w:lang w:val="de-AT"/>
        </w:rPr>
        <w:t xml:space="preserve"> den großen Vorteil, dass die IE3 </w:t>
      </w:r>
      <w:r w:rsidR="00AF33E7">
        <w:rPr>
          <w:rFonts w:cs="Arial"/>
          <w:sz w:val="20"/>
          <w:szCs w:val="20"/>
          <w:lang w:val="de-AT"/>
        </w:rPr>
        <w:t>Motor</w:t>
      </w:r>
      <w:r w:rsidR="00816AB5">
        <w:rPr>
          <w:rFonts w:cs="Arial"/>
          <w:sz w:val="20"/>
          <w:szCs w:val="20"/>
          <w:lang w:val="de-AT"/>
        </w:rPr>
        <w:t>en</w:t>
      </w:r>
      <w:r w:rsidR="0023254B">
        <w:rPr>
          <w:rFonts w:cs="Arial"/>
          <w:sz w:val="20"/>
          <w:szCs w:val="20"/>
          <w:lang w:val="de-AT"/>
        </w:rPr>
        <w:t xml:space="preserve"> </w:t>
      </w:r>
      <w:r w:rsidR="00AF33E7">
        <w:rPr>
          <w:rFonts w:cs="Arial"/>
          <w:sz w:val="20"/>
          <w:szCs w:val="20"/>
          <w:lang w:val="de-AT"/>
        </w:rPr>
        <w:t>ohne Konstruktionsänderungen</w:t>
      </w:r>
      <w:r w:rsidR="0023254B">
        <w:rPr>
          <w:rFonts w:cs="Arial"/>
          <w:sz w:val="20"/>
          <w:szCs w:val="20"/>
          <w:lang w:val="de-AT"/>
        </w:rPr>
        <w:t xml:space="preserve"> </w:t>
      </w:r>
      <w:r w:rsidR="00816AB5">
        <w:rPr>
          <w:rFonts w:cs="Arial"/>
          <w:sz w:val="20"/>
          <w:szCs w:val="20"/>
          <w:lang w:val="de-AT"/>
        </w:rPr>
        <w:t>der Anlage</w:t>
      </w:r>
      <w:r w:rsidR="009D0E88">
        <w:rPr>
          <w:rFonts w:cs="Arial"/>
          <w:sz w:val="20"/>
          <w:szCs w:val="20"/>
          <w:lang w:val="de-AT"/>
        </w:rPr>
        <w:t xml:space="preserve">n, </w:t>
      </w:r>
      <w:r w:rsidR="00AF33E7">
        <w:rPr>
          <w:rFonts w:cs="Arial"/>
          <w:sz w:val="20"/>
          <w:szCs w:val="20"/>
          <w:lang w:val="de-AT"/>
        </w:rPr>
        <w:t>verbaut werden können.</w:t>
      </w:r>
      <w:r w:rsidR="00816AB5">
        <w:rPr>
          <w:rFonts w:cs="Arial"/>
          <w:sz w:val="20"/>
          <w:szCs w:val="20"/>
          <w:lang w:val="de-AT"/>
        </w:rPr>
        <w:t xml:space="preserve"> </w:t>
      </w:r>
    </w:p>
    <w:p w:rsidR="000069C4" w:rsidRDefault="000069C4" w:rsidP="004E19E8">
      <w:pPr>
        <w:rPr>
          <w:rFonts w:cs="Arial"/>
          <w:sz w:val="20"/>
          <w:szCs w:val="20"/>
          <w:lang w:val="de-AT"/>
        </w:rPr>
      </w:pPr>
    </w:p>
    <w:p w:rsidR="00AF33E7" w:rsidRDefault="00816AB5" w:rsidP="004E19E8">
      <w:pPr>
        <w:rPr>
          <w:rFonts w:cs="Arial"/>
          <w:sz w:val="20"/>
          <w:szCs w:val="20"/>
          <w:lang w:val="de-AT"/>
        </w:rPr>
      </w:pPr>
      <w:r>
        <w:rPr>
          <w:rFonts w:cs="Arial"/>
          <w:sz w:val="20"/>
          <w:szCs w:val="20"/>
          <w:lang w:val="de-AT"/>
        </w:rPr>
        <w:t xml:space="preserve">Neben dem gesteigerten Wirkungsgrad und </w:t>
      </w:r>
      <w:r w:rsidR="00F56BAE">
        <w:rPr>
          <w:rFonts w:cs="Arial"/>
          <w:sz w:val="20"/>
          <w:szCs w:val="20"/>
          <w:lang w:val="de-AT"/>
        </w:rPr>
        <w:t>den s</w:t>
      </w:r>
      <w:r>
        <w:rPr>
          <w:rFonts w:cs="Arial"/>
          <w:sz w:val="20"/>
          <w:szCs w:val="20"/>
          <w:lang w:val="de-AT"/>
        </w:rPr>
        <w:t xml:space="preserve">omit </w:t>
      </w:r>
      <w:r w:rsidR="0029784A">
        <w:rPr>
          <w:rFonts w:cs="Arial"/>
          <w:sz w:val="20"/>
          <w:szCs w:val="20"/>
          <w:lang w:val="de-AT"/>
        </w:rPr>
        <w:t xml:space="preserve">deutlich reduzierten Produktlebenszykluskosten </w:t>
      </w:r>
      <w:r>
        <w:rPr>
          <w:rFonts w:cs="Arial"/>
          <w:sz w:val="20"/>
          <w:szCs w:val="20"/>
          <w:lang w:val="de-AT"/>
        </w:rPr>
        <w:t xml:space="preserve">spart die kompatible Motorbaureihe unseren Kunden </w:t>
      </w:r>
      <w:r w:rsidR="0029784A">
        <w:rPr>
          <w:rFonts w:cs="Arial"/>
          <w:sz w:val="20"/>
          <w:szCs w:val="20"/>
          <w:lang w:val="de-AT"/>
        </w:rPr>
        <w:t xml:space="preserve">zusätzliche </w:t>
      </w:r>
      <w:proofErr w:type="spellStart"/>
      <w:r>
        <w:rPr>
          <w:rFonts w:cs="Arial"/>
          <w:sz w:val="20"/>
          <w:szCs w:val="20"/>
          <w:lang w:val="de-AT"/>
        </w:rPr>
        <w:t>Konstruktions</w:t>
      </w:r>
      <w:proofErr w:type="spellEnd"/>
      <w:r>
        <w:rPr>
          <w:rFonts w:cs="Arial"/>
          <w:sz w:val="20"/>
          <w:szCs w:val="20"/>
          <w:lang w:val="de-AT"/>
        </w:rPr>
        <w:t xml:space="preserve">– bzw. Entwicklungskosten.   </w:t>
      </w:r>
    </w:p>
    <w:p w:rsidR="005623FC" w:rsidRDefault="005623FC" w:rsidP="004E19E8">
      <w:pPr>
        <w:rPr>
          <w:rFonts w:cs="Arial"/>
          <w:sz w:val="20"/>
          <w:szCs w:val="20"/>
          <w:lang w:val="de-AT"/>
        </w:rPr>
      </w:pPr>
    </w:p>
    <w:p w:rsidR="00D81996" w:rsidRDefault="005623FC" w:rsidP="004E19E8">
      <w:pPr>
        <w:rPr>
          <w:rFonts w:cs="Arial"/>
          <w:sz w:val="20"/>
          <w:szCs w:val="20"/>
          <w:lang w:val="de-AT"/>
        </w:rPr>
      </w:pPr>
      <w:r>
        <w:rPr>
          <w:rFonts w:cs="Arial"/>
          <w:sz w:val="20"/>
          <w:szCs w:val="20"/>
          <w:lang w:val="de-AT"/>
        </w:rPr>
        <w:t xml:space="preserve">Der W22 Motor ist </w:t>
      </w:r>
      <w:r w:rsidR="00F56BAE">
        <w:rPr>
          <w:rFonts w:cs="Arial"/>
          <w:sz w:val="20"/>
          <w:szCs w:val="20"/>
          <w:lang w:val="de-AT"/>
        </w:rPr>
        <w:t xml:space="preserve">damit </w:t>
      </w:r>
      <w:r>
        <w:rPr>
          <w:rFonts w:cs="Arial"/>
          <w:sz w:val="20"/>
          <w:szCs w:val="20"/>
          <w:lang w:val="de-AT"/>
        </w:rPr>
        <w:t>ein unschlagbarer Garant für</w:t>
      </w:r>
      <w:r w:rsidR="0088694F">
        <w:rPr>
          <w:rFonts w:cs="Arial"/>
          <w:sz w:val="20"/>
          <w:szCs w:val="20"/>
          <w:lang w:val="de-AT"/>
        </w:rPr>
        <w:t xml:space="preserve"> </w:t>
      </w:r>
      <w:r>
        <w:rPr>
          <w:rFonts w:cs="Arial"/>
          <w:sz w:val="20"/>
          <w:szCs w:val="20"/>
          <w:lang w:val="de-AT"/>
        </w:rPr>
        <w:t xml:space="preserve">Langlebigkeit, </w:t>
      </w:r>
      <w:r w:rsidR="0088694F">
        <w:rPr>
          <w:rFonts w:cs="Arial"/>
          <w:sz w:val="20"/>
          <w:szCs w:val="20"/>
          <w:lang w:val="de-AT"/>
        </w:rPr>
        <w:t xml:space="preserve">höchste </w:t>
      </w:r>
      <w:r>
        <w:rPr>
          <w:rFonts w:cs="Arial"/>
          <w:sz w:val="20"/>
          <w:szCs w:val="20"/>
          <w:lang w:val="de-AT"/>
        </w:rPr>
        <w:t>Energieeffizienz und Kompatibilität, eben ein Antriebskonzept für die Gegenwart und die Zukunft.</w:t>
      </w:r>
    </w:p>
    <w:p w:rsidR="00D81996" w:rsidRDefault="00D81996" w:rsidP="004E19E8">
      <w:pPr>
        <w:rPr>
          <w:rFonts w:cs="Arial"/>
          <w:sz w:val="20"/>
          <w:szCs w:val="20"/>
          <w:lang w:val="de-AT"/>
        </w:rPr>
      </w:pPr>
    </w:p>
    <w:p w:rsidR="004C5159" w:rsidRDefault="004C5159" w:rsidP="004E19E8">
      <w:pPr>
        <w:rPr>
          <w:rFonts w:cs="Arial"/>
          <w:b/>
          <w:sz w:val="20"/>
          <w:szCs w:val="20"/>
          <w:lang w:val="de-AT"/>
        </w:rPr>
      </w:pPr>
      <w:r w:rsidRPr="004C5159">
        <w:rPr>
          <w:rFonts w:cs="Arial"/>
          <w:b/>
          <w:sz w:val="20"/>
          <w:szCs w:val="20"/>
          <w:lang w:val="de-AT"/>
        </w:rPr>
        <w:t>Das energiesparende Design</w:t>
      </w:r>
      <w:r>
        <w:rPr>
          <w:rFonts w:cs="Arial"/>
          <w:b/>
          <w:sz w:val="20"/>
          <w:szCs w:val="20"/>
          <w:lang w:val="de-AT"/>
        </w:rPr>
        <w:t xml:space="preserve"> – Amortisation in kürzester Zeit</w:t>
      </w:r>
      <w:r w:rsidRPr="004C5159">
        <w:rPr>
          <w:rFonts w:cs="Arial"/>
          <w:b/>
          <w:sz w:val="20"/>
          <w:szCs w:val="20"/>
          <w:lang w:val="de-AT"/>
        </w:rPr>
        <w:t>:</w:t>
      </w:r>
    </w:p>
    <w:p w:rsidR="004C5159" w:rsidRPr="005C1622" w:rsidRDefault="000F3E0B" w:rsidP="000F3E0B">
      <w:pPr>
        <w:tabs>
          <w:tab w:val="left" w:pos="4347"/>
        </w:tabs>
        <w:rPr>
          <w:rFonts w:cs="Arial"/>
          <w:b/>
          <w:sz w:val="20"/>
          <w:szCs w:val="20"/>
          <w:lang w:val="de-AT"/>
        </w:rPr>
      </w:pPr>
      <w:r>
        <w:rPr>
          <w:rFonts w:cs="Arial"/>
          <w:b/>
          <w:sz w:val="20"/>
          <w:szCs w:val="20"/>
          <w:lang w:val="de-AT"/>
        </w:rPr>
        <w:tab/>
      </w:r>
    </w:p>
    <w:p w:rsidR="004C5159" w:rsidRPr="005C1622" w:rsidRDefault="004C5159" w:rsidP="004E19E8">
      <w:pPr>
        <w:rPr>
          <w:rFonts w:cs="Arial"/>
          <w:b/>
          <w:sz w:val="20"/>
          <w:szCs w:val="20"/>
          <w:lang w:val="de-AT"/>
        </w:rPr>
      </w:pPr>
      <w:r w:rsidRPr="005C1622">
        <w:rPr>
          <w:rFonts w:eastAsia="Calibri" w:cs="Arial"/>
          <w:sz w:val="20"/>
          <w:szCs w:val="20"/>
          <w:lang w:val="de-AT" w:eastAsia="de-AT"/>
        </w:rPr>
        <w:t xml:space="preserve">Rund 90% der </w:t>
      </w:r>
      <w:r w:rsidR="00537753" w:rsidRPr="005C1622">
        <w:rPr>
          <w:rFonts w:eastAsia="Calibri" w:cs="Arial"/>
          <w:sz w:val="20"/>
          <w:szCs w:val="20"/>
          <w:lang w:val="de-AT" w:eastAsia="de-AT"/>
        </w:rPr>
        <w:t>Lebenszykluskosten</w:t>
      </w:r>
      <w:r w:rsidRPr="005C1622">
        <w:rPr>
          <w:rFonts w:eastAsia="Calibri" w:cs="Arial"/>
          <w:sz w:val="20"/>
          <w:szCs w:val="20"/>
          <w:lang w:val="de-AT" w:eastAsia="de-AT"/>
        </w:rPr>
        <w:t xml:space="preserve"> eines Elektromotors entfallen auf den Energieverbrauch – im Vergleich zu 10% für Anschaffungs-, Installations- und Wartungskosten. Aus diesem Grund legen wir bei der Entwicklung unserer Motoren besonderen Wert auf die Energieeffizienz. Die verfügbaren Ausführungen erfüllen sämtliche Anforderungen der verschiedensten Länder weltweit. Dank des besonders geringen Energieverbrauchs amortisieren sich die Investitionskosten in kürzester Zeit.</w:t>
      </w:r>
    </w:p>
    <w:p w:rsidR="000069C4" w:rsidRPr="005C1622" w:rsidRDefault="000069C4" w:rsidP="004E19E8">
      <w:pPr>
        <w:rPr>
          <w:rFonts w:cs="Arial"/>
          <w:sz w:val="20"/>
          <w:szCs w:val="20"/>
          <w:lang w:val="de-AT"/>
        </w:rPr>
      </w:pPr>
    </w:p>
    <w:p w:rsidR="004C5159" w:rsidRPr="0029784A" w:rsidRDefault="004C5159" w:rsidP="004E19E8">
      <w:pPr>
        <w:autoSpaceDE w:val="0"/>
        <w:autoSpaceDN w:val="0"/>
        <w:adjustRightInd w:val="0"/>
        <w:rPr>
          <w:rFonts w:eastAsia="Calibri" w:cs="Arial"/>
          <w:b/>
          <w:sz w:val="20"/>
          <w:szCs w:val="20"/>
          <w:lang w:val="de-AT" w:eastAsia="de-AT"/>
        </w:rPr>
      </w:pPr>
      <w:r w:rsidRPr="005C1622">
        <w:rPr>
          <w:rFonts w:eastAsia="Calibri" w:cs="Arial"/>
          <w:b/>
          <w:sz w:val="20"/>
          <w:szCs w:val="20"/>
          <w:lang w:val="de-AT" w:eastAsia="de-AT"/>
        </w:rPr>
        <w:t xml:space="preserve">Anwendungen im </w:t>
      </w:r>
      <w:proofErr w:type="spellStart"/>
      <w:r w:rsidR="0029784A" w:rsidRPr="005C1622">
        <w:rPr>
          <w:rFonts w:eastAsia="Calibri" w:cs="Arial"/>
          <w:b/>
          <w:sz w:val="20"/>
          <w:szCs w:val="20"/>
          <w:lang w:val="de-AT" w:eastAsia="de-AT"/>
        </w:rPr>
        <w:t>Frequenzu</w:t>
      </w:r>
      <w:r w:rsidRPr="005C1622">
        <w:rPr>
          <w:rFonts w:eastAsia="Calibri" w:cs="Arial"/>
          <w:b/>
          <w:sz w:val="20"/>
          <w:szCs w:val="20"/>
          <w:lang w:val="de-AT" w:eastAsia="de-AT"/>
        </w:rPr>
        <w:t>mrichterbetrieb</w:t>
      </w:r>
      <w:proofErr w:type="spellEnd"/>
      <w:r w:rsidR="0029784A" w:rsidRPr="005C1622">
        <w:rPr>
          <w:rFonts w:eastAsia="Calibri" w:cs="Arial"/>
          <w:b/>
          <w:sz w:val="20"/>
          <w:szCs w:val="20"/>
          <w:lang w:val="de-AT" w:eastAsia="de-AT"/>
        </w:rPr>
        <w:t xml:space="preserve"> – Das einzigartige Isolier</w:t>
      </w:r>
      <w:r w:rsidR="00B32D81" w:rsidRPr="005C1622">
        <w:rPr>
          <w:rFonts w:eastAsia="Calibri" w:cs="Arial"/>
          <w:b/>
          <w:sz w:val="20"/>
          <w:szCs w:val="20"/>
          <w:lang w:val="de-AT" w:eastAsia="de-AT"/>
        </w:rPr>
        <w:t>ungs</w:t>
      </w:r>
      <w:r w:rsidR="0029784A" w:rsidRPr="005C1622">
        <w:rPr>
          <w:rFonts w:eastAsia="Calibri" w:cs="Arial"/>
          <w:b/>
          <w:sz w:val="20"/>
          <w:szCs w:val="20"/>
          <w:lang w:val="de-AT" w:eastAsia="de-AT"/>
        </w:rPr>
        <w:t xml:space="preserve">system </w:t>
      </w:r>
      <w:r w:rsidR="0029784A" w:rsidRPr="0029784A">
        <w:rPr>
          <w:rFonts w:eastAsia="Calibri" w:cs="Arial"/>
          <w:b/>
          <w:sz w:val="20"/>
          <w:szCs w:val="20"/>
          <w:lang w:val="de-AT" w:eastAsia="de-AT"/>
        </w:rPr>
        <w:t>WISE®:</w:t>
      </w:r>
    </w:p>
    <w:p w:rsidR="004C5159" w:rsidRPr="005C1622" w:rsidRDefault="004C5159" w:rsidP="004E19E8">
      <w:pPr>
        <w:autoSpaceDE w:val="0"/>
        <w:autoSpaceDN w:val="0"/>
        <w:adjustRightInd w:val="0"/>
        <w:rPr>
          <w:rFonts w:eastAsia="Calibri" w:cs="Arial"/>
          <w:sz w:val="20"/>
          <w:szCs w:val="20"/>
          <w:lang w:val="de-AT" w:eastAsia="de-AT"/>
        </w:rPr>
      </w:pPr>
    </w:p>
    <w:p w:rsidR="000069C4" w:rsidRPr="0029784A" w:rsidRDefault="004C5159" w:rsidP="004E19E8">
      <w:pPr>
        <w:autoSpaceDE w:val="0"/>
        <w:autoSpaceDN w:val="0"/>
        <w:adjustRightInd w:val="0"/>
        <w:rPr>
          <w:rFonts w:eastAsia="Calibri" w:cs="Arial"/>
          <w:sz w:val="20"/>
          <w:szCs w:val="20"/>
          <w:lang w:val="de-AT" w:eastAsia="de-AT"/>
        </w:rPr>
      </w:pPr>
      <w:r w:rsidRPr="005C1622">
        <w:rPr>
          <w:rFonts w:eastAsia="Calibri" w:cs="Arial"/>
          <w:sz w:val="20"/>
          <w:szCs w:val="20"/>
          <w:lang w:val="de-AT" w:eastAsia="de-AT"/>
        </w:rPr>
        <w:t>Das einzigartige Isolier</w:t>
      </w:r>
      <w:r w:rsidR="00B32D81" w:rsidRPr="005C1622">
        <w:rPr>
          <w:rFonts w:eastAsia="Calibri" w:cs="Arial"/>
          <w:sz w:val="20"/>
          <w:szCs w:val="20"/>
          <w:lang w:val="de-AT" w:eastAsia="de-AT"/>
        </w:rPr>
        <w:t>ungs</w:t>
      </w:r>
      <w:r w:rsidRPr="005C1622">
        <w:rPr>
          <w:rFonts w:eastAsia="Calibri" w:cs="Arial"/>
          <w:sz w:val="20"/>
          <w:szCs w:val="20"/>
          <w:lang w:val="de-AT" w:eastAsia="de-AT"/>
        </w:rPr>
        <w:t>s</w:t>
      </w:r>
      <w:r w:rsidR="0029784A" w:rsidRPr="005C1622">
        <w:rPr>
          <w:rFonts w:eastAsia="Calibri" w:cs="Arial"/>
          <w:sz w:val="20"/>
          <w:szCs w:val="20"/>
          <w:lang w:val="de-AT" w:eastAsia="de-AT"/>
        </w:rPr>
        <w:t xml:space="preserve">ystem WISE® der neuen W22-Reihe </w:t>
      </w:r>
      <w:r w:rsidRPr="005C1622">
        <w:rPr>
          <w:rFonts w:eastAsia="Calibri" w:cs="Arial"/>
          <w:sz w:val="20"/>
          <w:szCs w:val="20"/>
          <w:lang w:val="de-AT" w:eastAsia="de-AT"/>
        </w:rPr>
        <w:t xml:space="preserve">sorgt für </w:t>
      </w:r>
      <w:r w:rsidR="0029784A" w:rsidRPr="005C1622">
        <w:rPr>
          <w:rFonts w:eastAsia="Calibri" w:cs="Arial"/>
          <w:sz w:val="20"/>
          <w:szCs w:val="20"/>
          <w:lang w:val="de-AT" w:eastAsia="de-AT"/>
        </w:rPr>
        <w:t xml:space="preserve">höchste Spannungsfestigkeit der Wicklung und </w:t>
      </w:r>
      <w:r w:rsidRPr="005C1622">
        <w:rPr>
          <w:rFonts w:eastAsia="Calibri" w:cs="Arial"/>
          <w:sz w:val="20"/>
          <w:szCs w:val="20"/>
          <w:lang w:val="de-AT" w:eastAsia="de-AT"/>
        </w:rPr>
        <w:t>unterstützt den B</w:t>
      </w:r>
      <w:r w:rsidR="0029784A" w:rsidRPr="005C1622">
        <w:rPr>
          <w:rFonts w:eastAsia="Calibri" w:cs="Arial"/>
          <w:sz w:val="20"/>
          <w:szCs w:val="20"/>
          <w:lang w:val="de-AT" w:eastAsia="de-AT"/>
        </w:rPr>
        <w:t xml:space="preserve">etrieb </w:t>
      </w:r>
      <w:r w:rsidR="0029784A">
        <w:rPr>
          <w:rFonts w:eastAsia="Calibri" w:cs="Arial"/>
          <w:sz w:val="20"/>
          <w:szCs w:val="20"/>
          <w:lang w:val="de-AT" w:eastAsia="de-AT"/>
        </w:rPr>
        <w:t xml:space="preserve">am Frequenzumrichter für </w:t>
      </w:r>
      <w:r w:rsidRPr="0029784A">
        <w:rPr>
          <w:rFonts w:eastAsia="Calibri" w:cs="Arial"/>
          <w:sz w:val="20"/>
          <w:szCs w:val="20"/>
          <w:lang w:val="de-AT" w:eastAsia="de-AT"/>
        </w:rPr>
        <w:t>Netzspannungen bis 575V</w:t>
      </w:r>
      <w:r w:rsidR="0029784A">
        <w:rPr>
          <w:rFonts w:eastAsia="Calibri" w:cs="Arial"/>
          <w:sz w:val="20"/>
          <w:szCs w:val="20"/>
          <w:lang w:val="de-AT" w:eastAsia="de-AT"/>
        </w:rPr>
        <w:t xml:space="preserve">, ohne dass weitere Anpassungen </w:t>
      </w:r>
      <w:r w:rsidRPr="0029784A">
        <w:rPr>
          <w:rFonts w:eastAsia="Calibri" w:cs="Arial"/>
          <w:sz w:val="20"/>
          <w:szCs w:val="20"/>
          <w:lang w:val="de-AT" w:eastAsia="de-AT"/>
        </w:rPr>
        <w:t>erforderlich sind. Somit biete</w:t>
      </w:r>
      <w:r w:rsidR="0029784A">
        <w:rPr>
          <w:rFonts w:eastAsia="Calibri" w:cs="Arial"/>
          <w:sz w:val="20"/>
          <w:szCs w:val="20"/>
          <w:lang w:val="de-AT" w:eastAsia="de-AT"/>
        </w:rPr>
        <w:t xml:space="preserve">t es besondere Flexibilität und </w:t>
      </w:r>
      <w:r w:rsidRPr="0029784A">
        <w:rPr>
          <w:rFonts w:eastAsia="Calibri" w:cs="Arial"/>
          <w:sz w:val="20"/>
          <w:szCs w:val="20"/>
          <w:lang w:val="de-AT" w:eastAsia="de-AT"/>
        </w:rPr>
        <w:t>verlängert die Lebensdauer des Motors.</w:t>
      </w:r>
    </w:p>
    <w:p w:rsidR="000069C4" w:rsidRDefault="000069C4" w:rsidP="004E19E8">
      <w:pPr>
        <w:rPr>
          <w:rFonts w:cs="Arial"/>
          <w:sz w:val="20"/>
          <w:szCs w:val="20"/>
          <w:lang w:val="de-AT"/>
        </w:rPr>
      </w:pPr>
    </w:p>
    <w:p w:rsidR="0070150C" w:rsidRDefault="0070150C" w:rsidP="004E19E8">
      <w:pPr>
        <w:rPr>
          <w:rFonts w:cs="Arial"/>
          <w:sz w:val="20"/>
          <w:szCs w:val="20"/>
          <w:lang w:val="de-AT"/>
        </w:rPr>
      </w:pPr>
    </w:p>
    <w:p w:rsidR="007E0C65" w:rsidRDefault="007E0C65" w:rsidP="004E19E8">
      <w:pPr>
        <w:rPr>
          <w:rFonts w:cs="Arial"/>
          <w:sz w:val="20"/>
          <w:szCs w:val="20"/>
          <w:lang w:val="de-AT"/>
        </w:rPr>
      </w:pPr>
    </w:p>
    <w:p w:rsidR="00C5502C" w:rsidRDefault="00C5502C" w:rsidP="004E19E8">
      <w:pPr>
        <w:rPr>
          <w:rFonts w:cs="Arial"/>
          <w:b/>
          <w:sz w:val="20"/>
          <w:szCs w:val="20"/>
          <w:lang w:val="de-AT"/>
        </w:rPr>
      </w:pPr>
      <w:bookmarkStart w:id="0" w:name="_GoBack"/>
      <w:bookmarkEnd w:id="0"/>
      <w:r w:rsidRPr="00C5502C">
        <w:rPr>
          <w:rFonts w:cs="Arial"/>
          <w:b/>
          <w:sz w:val="20"/>
          <w:szCs w:val="20"/>
          <w:lang w:val="de-AT"/>
        </w:rPr>
        <w:lastRenderedPageBreak/>
        <w:t xml:space="preserve">W22 </w:t>
      </w:r>
      <w:r w:rsidR="004218F7">
        <w:rPr>
          <w:rFonts w:cs="Arial"/>
          <w:b/>
          <w:sz w:val="20"/>
          <w:szCs w:val="20"/>
          <w:lang w:val="de-AT"/>
        </w:rPr>
        <w:t>Standard-</w:t>
      </w:r>
      <w:r w:rsidRPr="00C5502C">
        <w:rPr>
          <w:rFonts w:cs="Arial"/>
          <w:b/>
          <w:sz w:val="20"/>
          <w:szCs w:val="20"/>
          <w:lang w:val="de-AT"/>
        </w:rPr>
        <w:t>Features:</w:t>
      </w:r>
      <w:r w:rsidR="00BD1256">
        <w:rPr>
          <w:rFonts w:cs="Arial"/>
          <w:b/>
          <w:sz w:val="20"/>
          <w:szCs w:val="20"/>
          <w:lang w:val="de-AT"/>
        </w:rPr>
        <w:br/>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Nennleistung: 0,12 bis 500 kW</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Baugrößen: 63 bis 355A/B</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Wirkungsgrade: IE1, IE2 und IE3 nach den europäischen Richtlinien gem. IEC60034-30</w:t>
      </w:r>
    </w:p>
    <w:p w:rsidR="00BD1256" w:rsidRPr="00BD1256" w:rsidRDefault="00BD1256" w:rsidP="00BD1256">
      <w:pPr>
        <w:pStyle w:val="Listenabsatz"/>
        <w:numPr>
          <w:ilvl w:val="0"/>
          <w:numId w:val="32"/>
        </w:numPr>
        <w:rPr>
          <w:rFonts w:cs="Arial"/>
          <w:sz w:val="20"/>
          <w:szCs w:val="20"/>
          <w:lang w:val="de-AT"/>
        </w:rPr>
      </w:pPr>
      <w:proofErr w:type="spellStart"/>
      <w:r w:rsidRPr="00BD1256">
        <w:rPr>
          <w:rFonts w:cs="Arial"/>
          <w:sz w:val="20"/>
          <w:szCs w:val="20"/>
          <w:lang w:val="de-AT"/>
        </w:rPr>
        <w:t>Polzahl</w:t>
      </w:r>
      <w:proofErr w:type="spellEnd"/>
      <w:r w:rsidRPr="00BD1256">
        <w:rPr>
          <w:rFonts w:cs="Arial"/>
          <w:sz w:val="20"/>
          <w:szCs w:val="20"/>
          <w:lang w:val="de-AT"/>
        </w:rPr>
        <w:t xml:space="preserve">: 2, 4, 6, und 8 </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Frequenzen: 50 Hz bzw. 60 Hz</w:t>
      </w:r>
    </w:p>
    <w:p w:rsidR="00BD1256" w:rsidRPr="00BD1256" w:rsidRDefault="00BD1256" w:rsidP="00BD1256">
      <w:pPr>
        <w:pStyle w:val="Listenabsatz"/>
        <w:numPr>
          <w:ilvl w:val="0"/>
          <w:numId w:val="32"/>
        </w:numPr>
        <w:rPr>
          <w:rFonts w:cs="Arial"/>
          <w:sz w:val="20"/>
          <w:szCs w:val="20"/>
          <w:lang w:val="de-AT"/>
        </w:rPr>
      </w:pPr>
      <w:proofErr w:type="spellStart"/>
      <w:r w:rsidRPr="00BD1256">
        <w:rPr>
          <w:rFonts w:cs="Arial"/>
          <w:sz w:val="20"/>
          <w:szCs w:val="20"/>
          <w:lang w:val="de-AT"/>
        </w:rPr>
        <w:t>Kühlart</w:t>
      </w:r>
      <w:proofErr w:type="spellEnd"/>
      <w:r w:rsidRPr="00BD1256">
        <w:rPr>
          <w:rFonts w:cs="Arial"/>
          <w:sz w:val="20"/>
          <w:szCs w:val="20"/>
          <w:lang w:val="de-AT"/>
        </w:rPr>
        <w:t>: TEFC (geschlossen und oberflächengekühlt)</w:t>
      </w:r>
    </w:p>
    <w:p w:rsidR="00BD1256" w:rsidRPr="00BD1256" w:rsidRDefault="00BD1256" w:rsidP="002D0448">
      <w:pPr>
        <w:pStyle w:val="Listenabsatz"/>
        <w:numPr>
          <w:ilvl w:val="0"/>
          <w:numId w:val="32"/>
        </w:numPr>
        <w:tabs>
          <w:tab w:val="left" w:pos="1843"/>
        </w:tabs>
        <w:rPr>
          <w:rFonts w:cs="Arial"/>
          <w:sz w:val="20"/>
          <w:szCs w:val="20"/>
          <w:lang w:val="de-AT"/>
        </w:rPr>
      </w:pPr>
      <w:r w:rsidRPr="00BD1256">
        <w:rPr>
          <w:rFonts w:cs="Arial"/>
          <w:sz w:val="20"/>
          <w:szCs w:val="20"/>
          <w:lang w:val="de-AT"/>
        </w:rPr>
        <w:t>Spannung:</w:t>
      </w:r>
      <w:r>
        <w:rPr>
          <w:rFonts w:cs="Arial"/>
          <w:sz w:val="20"/>
          <w:szCs w:val="20"/>
          <w:lang w:val="de-AT"/>
        </w:rPr>
        <w:tab/>
      </w:r>
      <w:r w:rsidRPr="00BD1256">
        <w:rPr>
          <w:rFonts w:cs="Arial"/>
          <w:sz w:val="20"/>
          <w:szCs w:val="20"/>
          <w:lang w:val="de-AT"/>
        </w:rPr>
        <w:t>50 Hz: 220-240/380-415 V (bis Baugröße 100L) / 380-415/660-690 V (112M bis 355A/B)</w:t>
      </w:r>
    </w:p>
    <w:p w:rsidR="00BD1256" w:rsidRPr="00BD1256" w:rsidRDefault="00BD1256" w:rsidP="002D0448">
      <w:pPr>
        <w:tabs>
          <w:tab w:val="left" w:pos="1843"/>
        </w:tabs>
        <w:ind w:left="720" w:firstLine="720"/>
        <w:rPr>
          <w:rFonts w:cs="Arial"/>
          <w:sz w:val="20"/>
          <w:szCs w:val="20"/>
          <w:lang w:val="de-AT"/>
        </w:rPr>
      </w:pPr>
      <w:r>
        <w:rPr>
          <w:rFonts w:cs="Arial"/>
          <w:sz w:val="20"/>
          <w:szCs w:val="20"/>
          <w:lang w:val="de-AT"/>
        </w:rPr>
        <w:tab/>
      </w:r>
      <w:r w:rsidRPr="00BD1256">
        <w:rPr>
          <w:rFonts w:cs="Arial"/>
          <w:sz w:val="20"/>
          <w:szCs w:val="20"/>
          <w:lang w:val="de-AT"/>
        </w:rPr>
        <w:t>60 Hz: 460V (63 bis 355A/B)</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Service-Faktor: 1,00</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 xml:space="preserve">Umgebungstemperatur: -20°C bis +40°C bei 1000m Höhe </w:t>
      </w:r>
      <w:r w:rsidR="00836070">
        <w:rPr>
          <w:rFonts w:cs="Arial"/>
          <w:sz w:val="20"/>
          <w:szCs w:val="20"/>
          <w:lang w:val="de-AT"/>
        </w:rPr>
        <w:t>über N.N.</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Isolationsklasse: F (AT=80 K)</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Schutzart: IP55</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Bauformen: B3, B5 und B14</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Isoliersystem WISE® - für Umrichter-Anwendungen geeignet</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Kaltleiter (1 pro Phase) für Baugrößen 160M bis 355A/B</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Käfigläufer in Aluminiumdruckguss</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 xml:space="preserve">V-Ring-Dichtung für Baugrößen 63 bis 200L bzw. </w:t>
      </w:r>
      <w:proofErr w:type="spellStart"/>
      <w:r w:rsidRPr="00BD1256">
        <w:rPr>
          <w:rFonts w:cs="Arial"/>
          <w:sz w:val="20"/>
          <w:szCs w:val="20"/>
          <w:lang w:val="de-AT"/>
        </w:rPr>
        <w:t>WSeal</w:t>
      </w:r>
      <w:proofErr w:type="spellEnd"/>
      <w:r w:rsidRPr="00BD1256">
        <w:rPr>
          <w:rFonts w:cs="Arial"/>
          <w:sz w:val="20"/>
          <w:szCs w:val="20"/>
          <w:lang w:val="de-AT"/>
        </w:rPr>
        <w:t>® für Baugrößen 225S/M bis 355A/B</w:t>
      </w:r>
      <w:r w:rsidR="007336B5">
        <w:rPr>
          <w:rFonts w:cs="Arial"/>
          <w:sz w:val="20"/>
          <w:szCs w:val="20"/>
          <w:lang w:val="de-AT"/>
        </w:rPr>
        <w:t xml:space="preserve"> (</w:t>
      </w:r>
      <w:r w:rsidR="00C954A3">
        <w:rPr>
          <w:rFonts w:cs="Arial"/>
          <w:sz w:val="20"/>
          <w:szCs w:val="20"/>
          <w:lang w:val="de-AT"/>
        </w:rPr>
        <w:t xml:space="preserve">siehe </w:t>
      </w:r>
      <w:r w:rsidR="007336B5">
        <w:rPr>
          <w:rFonts w:cs="Arial"/>
          <w:sz w:val="20"/>
          <w:szCs w:val="20"/>
          <w:lang w:val="de-AT"/>
        </w:rPr>
        <w:t>Bild 2)</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Nachschmiereinrichtung für Baugröße 225S/M bis 355A/B</w:t>
      </w:r>
    </w:p>
    <w:p w:rsidR="00BD1256" w:rsidRPr="00BD1256" w:rsidRDefault="00BD1256" w:rsidP="00BD1256">
      <w:pPr>
        <w:pStyle w:val="Listenabsatz"/>
        <w:numPr>
          <w:ilvl w:val="0"/>
          <w:numId w:val="32"/>
        </w:numPr>
        <w:rPr>
          <w:rFonts w:cs="Arial"/>
          <w:sz w:val="20"/>
          <w:szCs w:val="20"/>
          <w:lang w:val="de-AT"/>
        </w:rPr>
      </w:pPr>
      <w:r w:rsidRPr="00BD1256">
        <w:rPr>
          <w:rFonts w:cs="Arial"/>
          <w:sz w:val="20"/>
          <w:szCs w:val="20"/>
          <w:lang w:val="de-AT"/>
        </w:rPr>
        <w:t>Typenschilder</w:t>
      </w:r>
      <w:r>
        <w:rPr>
          <w:rFonts w:cs="Arial"/>
          <w:sz w:val="20"/>
          <w:szCs w:val="20"/>
          <w:lang w:val="de-AT"/>
        </w:rPr>
        <w:t xml:space="preserve"> </w:t>
      </w:r>
      <w:r w:rsidRPr="00BD1256">
        <w:rPr>
          <w:rFonts w:cs="Arial"/>
          <w:sz w:val="20"/>
          <w:szCs w:val="20"/>
          <w:lang w:val="de-AT"/>
        </w:rPr>
        <w:t>aus</w:t>
      </w:r>
      <w:r>
        <w:rPr>
          <w:rFonts w:cs="Arial"/>
          <w:sz w:val="20"/>
          <w:szCs w:val="20"/>
          <w:lang w:val="de-AT"/>
        </w:rPr>
        <w:t xml:space="preserve"> </w:t>
      </w:r>
      <w:r w:rsidRPr="00BD1256">
        <w:rPr>
          <w:rFonts w:cs="Arial"/>
          <w:sz w:val="20"/>
          <w:szCs w:val="20"/>
          <w:lang w:val="de-AT"/>
        </w:rPr>
        <w:t>rostfreiem Stahl</w:t>
      </w:r>
    </w:p>
    <w:p w:rsidR="008F6EB6" w:rsidRDefault="00BD1256" w:rsidP="00BD1256">
      <w:pPr>
        <w:pStyle w:val="Listenabsatz"/>
        <w:numPr>
          <w:ilvl w:val="0"/>
          <w:numId w:val="32"/>
        </w:numPr>
        <w:rPr>
          <w:rFonts w:cs="Arial"/>
          <w:sz w:val="20"/>
          <w:szCs w:val="20"/>
          <w:lang w:val="de-AT"/>
        </w:rPr>
      </w:pPr>
      <w:proofErr w:type="spellStart"/>
      <w:r w:rsidRPr="00BD1256">
        <w:rPr>
          <w:rFonts w:cs="Arial"/>
          <w:sz w:val="20"/>
          <w:szCs w:val="20"/>
          <w:lang w:val="de-AT"/>
        </w:rPr>
        <w:t>Lüfterhaube</w:t>
      </w:r>
      <w:proofErr w:type="spellEnd"/>
      <w:r w:rsidRPr="00BD1256">
        <w:rPr>
          <w:rFonts w:cs="Arial"/>
          <w:sz w:val="20"/>
          <w:szCs w:val="20"/>
          <w:lang w:val="de-AT"/>
        </w:rPr>
        <w:t xml:space="preserve"> aus Stahlblech von Baugröße 63 bis 132M/L, aus Grauguss von Baugröße 160M bis 355A/B</w:t>
      </w:r>
    </w:p>
    <w:p w:rsidR="002D3E57" w:rsidRDefault="002D3E57" w:rsidP="002D3E57">
      <w:pPr>
        <w:rPr>
          <w:rFonts w:cs="Arial"/>
          <w:sz w:val="20"/>
          <w:szCs w:val="20"/>
          <w:lang w:val="de-AT"/>
        </w:rPr>
      </w:pPr>
    </w:p>
    <w:p w:rsidR="002D3E57" w:rsidRDefault="002D3E57" w:rsidP="002D3E57">
      <w:pPr>
        <w:rPr>
          <w:rFonts w:cs="Arial"/>
          <w:sz w:val="20"/>
          <w:szCs w:val="20"/>
          <w:lang w:val="de-AT"/>
        </w:rPr>
      </w:pPr>
    </w:p>
    <w:p w:rsidR="002D3E57" w:rsidRDefault="002D3E57" w:rsidP="002D3E57">
      <w:pPr>
        <w:jc w:val="center"/>
        <w:rPr>
          <w:rFonts w:cs="Arial"/>
          <w:sz w:val="20"/>
          <w:szCs w:val="20"/>
          <w:lang w:val="en-GB"/>
        </w:rPr>
      </w:pPr>
      <w:r>
        <w:rPr>
          <w:rFonts w:cs="Arial"/>
          <w:noProof/>
          <w:sz w:val="20"/>
          <w:szCs w:val="20"/>
          <w:lang w:val="en-GB" w:eastAsia="en-GB"/>
        </w:rPr>
        <w:drawing>
          <wp:inline distT="0" distB="0" distL="0" distR="0" wp14:anchorId="1D36274B" wp14:editId="418E302D">
            <wp:extent cx="1656861" cy="2440754"/>
            <wp:effectExtent l="0" t="0" r="635" b="0"/>
            <wp:docPr id="6" name="Grafik 6" descr="C:\Daten\11media\2012_11media_Joomla2.5_Zoo\grafiken\news\2012-10\weg_wseal-system-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ten\11media\2012_11media_Joomla2.5_Zoo\grafiken\news\2012-10\weg_wseal-system-7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812" cy="2442154"/>
                    </a:xfrm>
                    <a:prstGeom prst="rect">
                      <a:avLst/>
                    </a:prstGeom>
                    <a:noFill/>
                    <a:ln>
                      <a:noFill/>
                    </a:ln>
                  </pic:spPr>
                </pic:pic>
              </a:graphicData>
            </a:graphic>
          </wp:inline>
        </w:drawing>
      </w:r>
    </w:p>
    <w:p w:rsidR="002D3E57" w:rsidRPr="009E35F7" w:rsidRDefault="002D3E57" w:rsidP="002D3E57">
      <w:pPr>
        <w:jc w:val="center"/>
        <w:rPr>
          <w:noProof/>
          <w:sz w:val="20"/>
          <w:szCs w:val="20"/>
          <w:lang w:val="en-GB" w:eastAsia="en-GB"/>
        </w:rPr>
      </w:pPr>
      <w:r w:rsidRPr="009E35F7">
        <w:rPr>
          <w:noProof/>
          <w:sz w:val="20"/>
          <w:szCs w:val="20"/>
          <w:lang w:val="en-GB" w:eastAsia="en-GB"/>
        </w:rPr>
        <w:t>Bild</w:t>
      </w:r>
      <w:r>
        <w:rPr>
          <w:noProof/>
          <w:sz w:val="20"/>
          <w:szCs w:val="20"/>
          <w:lang w:val="en-GB" w:eastAsia="en-GB"/>
        </w:rPr>
        <w:t xml:space="preserve"> 2</w:t>
      </w:r>
      <w:r w:rsidRPr="009E35F7">
        <w:rPr>
          <w:noProof/>
          <w:sz w:val="20"/>
          <w:szCs w:val="20"/>
          <w:lang w:val="en-GB" w:eastAsia="en-GB"/>
        </w:rPr>
        <w:t xml:space="preserve">: </w:t>
      </w:r>
      <w:r>
        <w:rPr>
          <w:noProof/>
          <w:sz w:val="20"/>
          <w:szCs w:val="20"/>
          <w:lang w:val="en-GB" w:eastAsia="en-GB"/>
        </w:rPr>
        <w:t xml:space="preserve">Dichtsystem </w:t>
      </w:r>
      <w:proofErr w:type="spellStart"/>
      <w:r>
        <w:rPr>
          <w:rFonts w:cs="Arial"/>
          <w:sz w:val="20"/>
          <w:szCs w:val="20"/>
          <w:lang w:val="en-GB"/>
        </w:rPr>
        <w:t>WSeal</w:t>
      </w:r>
      <w:proofErr w:type="spellEnd"/>
      <w:r>
        <w:rPr>
          <w:rFonts w:cs="Arial"/>
          <w:sz w:val="20"/>
          <w:szCs w:val="20"/>
          <w:lang w:val="en-GB"/>
        </w:rPr>
        <w:t>®</w:t>
      </w:r>
    </w:p>
    <w:p w:rsidR="002D3E57" w:rsidRPr="002D3E57" w:rsidRDefault="002D3E57" w:rsidP="002D3E57">
      <w:pPr>
        <w:rPr>
          <w:rFonts w:cs="Arial"/>
          <w:sz w:val="20"/>
          <w:szCs w:val="20"/>
          <w:lang w:val="de-AT"/>
        </w:rPr>
      </w:pPr>
    </w:p>
    <w:sectPr w:rsidR="002D3E57" w:rsidRPr="002D3E57" w:rsidSect="007C15DD">
      <w:headerReference w:type="default" r:id="rId10"/>
      <w:footerReference w:type="default" r:id="rId11"/>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B0" w:rsidRDefault="00B21AB0" w:rsidP="00DA2579">
      <w:r>
        <w:separator/>
      </w:r>
    </w:p>
  </w:endnote>
  <w:endnote w:type="continuationSeparator" w:id="0">
    <w:p w:rsidR="00B21AB0" w:rsidRDefault="00B21AB0"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22" w:rsidRPr="00DA2579" w:rsidRDefault="005C1622"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5C1622" w:rsidRPr="00DA2579" w:rsidRDefault="005C1622"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B0" w:rsidRDefault="00B21AB0" w:rsidP="00DA2579">
      <w:r>
        <w:separator/>
      </w:r>
    </w:p>
  </w:footnote>
  <w:footnote w:type="continuationSeparator" w:id="0">
    <w:p w:rsidR="00B21AB0" w:rsidRDefault="00B21AB0"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22" w:rsidRPr="0077611F" w:rsidRDefault="005C1622" w:rsidP="0077611F">
    <w:pPr>
      <w:autoSpaceDE w:val="0"/>
      <w:autoSpaceDN w:val="0"/>
      <w:adjustRightInd w:val="0"/>
      <w:rPr>
        <w:rFonts w:cs="Arial"/>
        <w:color w:val="808080"/>
        <w:sz w:val="20"/>
        <w:szCs w:val="20"/>
        <w:lang w:val="en-GB"/>
      </w:rPr>
    </w:pPr>
  </w:p>
  <w:p w:rsidR="005C1622" w:rsidRPr="00DB2D86" w:rsidRDefault="005C1622" w:rsidP="0077611F">
    <w:pPr>
      <w:autoSpaceDE w:val="0"/>
      <w:autoSpaceDN w:val="0"/>
      <w:adjustRightInd w:val="0"/>
      <w:rPr>
        <w:rFonts w:cs="Arial"/>
        <w:color w:val="808080"/>
        <w:sz w:val="48"/>
        <w:szCs w:val="48"/>
        <w:lang w:val="en-GB"/>
      </w:rPr>
    </w:pPr>
    <w:r>
      <w:rPr>
        <w:rFonts w:cs="Arial"/>
        <w:color w:val="808080"/>
        <w:sz w:val="48"/>
        <w:szCs w:val="48"/>
        <w:lang w:val="en-GB"/>
      </w:rPr>
      <w:t>Newsletter 10.2012</w:t>
    </w:r>
    <w:r>
      <w:rPr>
        <w:noProof/>
        <w:lang w:val="en-GB" w:eastAsia="en-GB"/>
      </w:rPr>
      <w:drawing>
        <wp:anchor distT="0" distB="0" distL="114300" distR="114300" simplePos="0" relativeHeight="251666432" behindDoc="0" locked="1" layoutInCell="1" allowOverlap="1" wp14:anchorId="3B9985CC" wp14:editId="0BAEBD54">
          <wp:simplePos x="0" y="0"/>
          <wp:positionH relativeFrom="column">
            <wp:posOffset>4669155</wp:posOffset>
          </wp:positionH>
          <wp:positionV relativeFrom="page">
            <wp:posOffset>574040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p>
  <w:p w:rsidR="005C1622" w:rsidRPr="00E73AC0" w:rsidRDefault="00D12B66" w:rsidP="0077611F">
    <w:pPr>
      <w:rPr>
        <w:rFonts w:cs="Arial"/>
        <w:color w:val="000000"/>
        <w:lang w:val="en-GB"/>
      </w:rPr>
    </w:pPr>
    <w:r>
      <w:rPr>
        <w:rFonts w:cs="Arial"/>
        <w:color w:val="000000"/>
        <w:lang w:val="en-GB"/>
      </w:rPr>
      <w:t>07</w:t>
    </w:r>
    <w:r w:rsidR="005C1622">
      <w:rPr>
        <w:rFonts w:cs="Arial"/>
        <w:color w:val="000000"/>
        <w:lang w:val="en-GB"/>
      </w:rPr>
      <w:t xml:space="preserve">. </w:t>
    </w:r>
    <w:r>
      <w:rPr>
        <w:rFonts w:cs="Arial"/>
        <w:color w:val="000000"/>
        <w:lang w:val="en-GB"/>
      </w:rPr>
      <w:t xml:space="preserve">November </w:t>
    </w:r>
    <w:r w:rsidR="005C1622" w:rsidRPr="00DB2D86">
      <w:rPr>
        <w:rFonts w:cs="Arial"/>
        <w:color w:val="000000"/>
        <w:lang w:val="en-GB"/>
      </w:rPr>
      <w:t>2012</w:t>
    </w:r>
  </w:p>
  <w:p w:rsidR="005C1622" w:rsidRDefault="005C1622">
    <w:pPr>
      <w:pStyle w:val="Kopfzeile"/>
    </w:pPr>
    <w:r>
      <w:rPr>
        <w:noProof/>
        <w:lang w:eastAsia="en-GB"/>
      </w:rPr>
      <mc:AlternateContent>
        <mc:Choice Requires="wps">
          <w:drawing>
            <wp:anchor distT="0" distB="0" distL="114300" distR="114300" simplePos="0" relativeHeight="251667456" behindDoc="0" locked="0" layoutInCell="0" allowOverlap="1" wp14:anchorId="49A1E74D" wp14:editId="6333601E">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622" w:rsidRDefault="005C1622" w:rsidP="009E7F83">
                          <w:r>
                            <w:rPr>
                              <w:noProof/>
                              <w:lang w:val="en-GB" w:eastAsia="en-GB"/>
                            </w:rPr>
                            <w:drawing>
                              <wp:inline distT="0" distB="0" distL="0" distR="0" wp14:anchorId="5D9BF351" wp14:editId="42D24850">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5C1622" w:rsidRDefault="005C1622" w:rsidP="009E7F83"/>
                        <w:p w:rsidR="005C1622" w:rsidRDefault="005C1622" w:rsidP="009E7F83"/>
                        <w:p w:rsidR="005C1622" w:rsidRDefault="005C1622"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5C1622" w:rsidRDefault="005C1622" w:rsidP="009E7F83">
                    <w:r>
                      <w:rPr>
                        <w:noProof/>
                        <w:lang w:val="en-GB" w:eastAsia="en-GB"/>
                      </w:rPr>
                      <w:drawing>
                        <wp:inline distT="0" distB="0" distL="0" distR="0" wp14:anchorId="5D9BF351" wp14:editId="42D24850">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5C1622" w:rsidRDefault="005C1622" w:rsidP="009E7F83"/>
                  <w:p w:rsidR="005C1622" w:rsidRDefault="005C1622" w:rsidP="009E7F83"/>
                  <w:p w:rsidR="005C1622" w:rsidRDefault="005C1622"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pt;height:4.1pt" o:bullet="t">
        <v:imagedata r:id="rId1" o:title=""/>
      </v:shape>
    </w:pict>
  </w:numPicBullet>
  <w:numPicBullet w:numPicBulletId="1">
    <w:pict>
      <v:shape id="_x0000_i1039" type="#_x0000_t75" style="width:4.1pt;height:4.1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1">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3">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6">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9">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4">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5">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7">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9">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17"/>
  </w:num>
  <w:num w:numId="4">
    <w:abstractNumId w:val="25"/>
  </w:num>
  <w:num w:numId="5">
    <w:abstractNumId w:val="10"/>
  </w:num>
  <w:num w:numId="6">
    <w:abstractNumId w:val="7"/>
  </w:num>
  <w:num w:numId="7">
    <w:abstractNumId w:val="27"/>
  </w:num>
  <w:num w:numId="8">
    <w:abstractNumId w:val="9"/>
  </w:num>
  <w:num w:numId="9">
    <w:abstractNumId w:val="29"/>
  </w:num>
  <w:num w:numId="10">
    <w:abstractNumId w:val="23"/>
  </w:num>
  <w:num w:numId="11">
    <w:abstractNumId w:val="19"/>
  </w:num>
  <w:num w:numId="12">
    <w:abstractNumId w:val="30"/>
  </w:num>
  <w:num w:numId="13">
    <w:abstractNumId w:val="24"/>
  </w:num>
  <w:num w:numId="14">
    <w:abstractNumId w:val="18"/>
  </w:num>
  <w:num w:numId="15">
    <w:abstractNumId w:val="26"/>
  </w:num>
  <w:num w:numId="16">
    <w:abstractNumId w:val="8"/>
  </w:num>
  <w:num w:numId="17">
    <w:abstractNumId w:val="31"/>
  </w:num>
  <w:num w:numId="18">
    <w:abstractNumId w:val="28"/>
  </w:num>
  <w:num w:numId="19">
    <w:abstractNumId w:val="12"/>
  </w:num>
  <w:num w:numId="20">
    <w:abstractNumId w:val="5"/>
  </w:num>
  <w:num w:numId="21">
    <w:abstractNumId w:val="11"/>
  </w:num>
  <w:num w:numId="22">
    <w:abstractNumId w:val="22"/>
  </w:num>
  <w:num w:numId="23">
    <w:abstractNumId w:val="21"/>
  </w:num>
  <w:num w:numId="24">
    <w:abstractNumId w:val="13"/>
  </w:num>
  <w:num w:numId="25">
    <w:abstractNumId w:val="2"/>
  </w:num>
  <w:num w:numId="26">
    <w:abstractNumId w:val="1"/>
  </w:num>
  <w:num w:numId="27">
    <w:abstractNumId w:val="4"/>
  </w:num>
  <w:num w:numId="28">
    <w:abstractNumId w:val="15"/>
  </w:num>
  <w:num w:numId="29">
    <w:abstractNumId w:val="14"/>
  </w:num>
  <w:num w:numId="30">
    <w:abstractNumId w:val="16"/>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69C4"/>
    <w:rsid w:val="00007B02"/>
    <w:rsid w:val="00010335"/>
    <w:rsid w:val="00042C31"/>
    <w:rsid w:val="00044FF6"/>
    <w:rsid w:val="000459C8"/>
    <w:rsid w:val="00056A4A"/>
    <w:rsid w:val="000728D8"/>
    <w:rsid w:val="000A43ED"/>
    <w:rsid w:val="000A78A8"/>
    <w:rsid w:val="000E145E"/>
    <w:rsid w:val="000E2648"/>
    <w:rsid w:val="000F3E0B"/>
    <w:rsid w:val="00107B5D"/>
    <w:rsid w:val="0011519C"/>
    <w:rsid w:val="00125E90"/>
    <w:rsid w:val="00133FFC"/>
    <w:rsid w:val="001407B9"/>
    <w:rsid w:val="00140C71"/>
    <w:rsid w:val="00171EA6"/>
    <w:rsid w:val="0018387B"/>
    <w:rsid w:val="00187A71"/>
    <w:rsid w:val="00187C88"/>
    <w:rsid w:val="001975BF"/>
    <w:rsid w:val="001D0672"/>
    <w:rsid w:val="001E2F02"/>
    <w:rsid w:val="001F5421"/>
    <w:rsid w:val="001F7E78"/>
    <w:rsid w:val="002058A7"/>
    <w:rsid w:val="0023254B"/>
    <w:rsid w:val="00247803"/>
    <w:rsid w:val="0025447B"/>
    <w:rsid w:val="00256F11"/>
    <w:rsid w:val="00275CC0"/>
    <w:rsid w:val="00276FDB"/>
    <w:rsid w:val="0029784A"/>
    <w:rsid w:val="002A3F5E"/>
    <w:rsid w:val="002B6A0D"/>
    <w:rsid w:val="002B7706"/>
    <w:rsid w:val="002C009B"/>
    <w:rsid w:val="002C6E94"/>
    <w:rsid w:val="002D0448"/>
    <w:rsid w:val="002D3E57"/>
    <w:rsid w:val="002F19C9"/>
    <w:rsid w:val="00323735"/>
    <w:rsid w:val="00333653"/>
    <w:rsid w:val="00335C02"/>
    <w:rsid w:val="0033700A"/>
    <w:rsid w:val="00346AD8"/>
    <w:rsid w:val="00363F7B"/>
    <w:rsid w:val="003740BA"/>
    <w:rsid w:val="00380EF7"/>
    <w:rsid w:val="00394AA9"/>
    <w:rsid w:val="00395BDF"/>
    <w:rsid w:val="003962A8"/>
    <w:rsid w:val="00397E54"/>
    <w:rsid w:val="003B5844"/>
    <w:rsid w:val="003B7AE5"/>
    <w:rsid w:val="003D0FA0"/>
    <w:rsid w:val="003D25C9"/>
    <w:rsid w:val="003D509D"/>
    <w:rsid w:val="003D5B3A"/>
    <w:rsid w:val="003E65C3"/>
    <w:rsid w:val="004218F7"/>
    <w:rsid w:val="00425C58"/>
    <w:rsid w:val="0043738F"/>
    <w:rsid w:val="00454CD1"/>
    <w:rsid w:val="00477B1D"/>
    <w:rsid w:val="00496D4D"/>
    <w:rsid w:val="004B71D9"/>
    <w:rsid w:val="004C5159"/>
    <w:rsid w:val="004E11D1"/>
    <w:rsid w:val="004E19E8"/>
    <w:rsid w:val="0050479E"/>
    <w:rsid w:val="00505749"/>
    <w:rsid w:val="005114F0"/>
    <w:rsid w:val="00522726"/>
    <w:rsid w:val="00522CD4"/>
    <w:rsid w:val="00537753"/>
    <w:rsid w:val="00557546"/>
    <w:rsid w:val="005623FC"/>
    <w:rsid w:val="005629B3"/>
    <w:rsid w:val="00582DAC"/>
    <w:rsid w:val="00583492"/>
    <w:rsid w:val="005842BB"/>
    <w:rsid w:val="005B7667"/>
    <w:rsid w:val="005C1622"/>
    <w:rsid w:val="005C1EA4"/>
    <w:rsid w:val="005E205F"/>
    <w:rsid w:val="005F3CDC"/>
    <w:rsid w:val="0060276D"/>
    <w:rsid w:val="00615EE6"/>
    <w:rsid w:val="00622A16"/>
    <w:rsid w:val="00627A02"/>
    <w:rsid w:val="00633082"/>
    <w:rsid w:val="00636A3B"/>
    <w:rsid w:val="006451CC"/>
    <w:rsid w:val="00677722"/>
    <w:rsid w:val="00691596"/>
    <w:rsid w:val="006969E9"/>
    <w:rsid w:val="006C0DA1"/>
    <w:rsid w:val="006C796A"/>
    <w:rsid w:val="006D0FDC"/>
    <w:rsid w:val="007014D9"/>
    <w:rsid w:val="0070150C"/>
    <w:rsid w:val="007336B5"/>
    <w:rsid w:val="00756AEB"/>
    <w:rsid w:val="00766C7B"/>
    <w:rsid w:val="00766E3A"/>
    <w:rsid w:val="0077611F"/>
    <w:rsid w:val="007776DA"/>
    <w:rsid w:val="0079127C"/>
    <w:rsid w:val="007A57B8"/>
    <w:rsid w:val="007C15DD"/>
    <w:rsid w:val="007C2F34"/>
    <w:rsid w:val="007E09C3"/>
    <w:rsid w:val="007E0C65"/>
    <w:rsid w:val="007F2178"/>
    <w:rsid w:val="007F3359"/>
    <w:rsid w:val="007F4EAC"/>
    <w:rsid w:val="008027C5"/>
    <w:rsid w:val="00816AB5"/>
    <w:rsid w:val="00820A40"/>
    <w:rsid w:val="00823D22"/>
    <w:rsid w:val="00823D2B"/>
    <w:rsid w:val="00826A70"/>
    <w:rsid w:val="00836070"/>
    <w:rsid w:val="00836C3F"/>
    <w:rsid w:val="00845EEA"/>
    <w:rsid w:val="00846EDC"/>
    <w:rsid w:val="008703FE"/>
    <w:rsid w:val="00871CA3"/>
    <w:rsid w:val="00872EF8"/>
    <w:rsid w:val="0088694F"/>
    <w:rsid w:val="00893908"/>
    <w:rsid w:val="00897000"/>
    <w:rsid w:val="008B0107"/>
    <w:rsid w:val="008B288E"/>
    <w:rsid w:val="008D3644"/>
    <w:rsid w:val="008E0176"/>
    <w:rsid w:val="008E64EC"/>
    <w:rsid w:val="008F6EB6"/>
    <w:rsid w:val="009442BB"/>
    <w:rsid w:val="0094572E"/>
    <w:rsid w:val="00966BA2"/>
    <w:rsid w:val="009B34A9"/>
    <w:rsid w:val="009D0E88"/>
    <w:rsid w:val="009D5DCE"/>
    <w:rsid w:val="009E7F83"/>
    <w:rsid w:val="009F4454"/>
    <w:rsid w:val="00A01E42"/>
    <w:rsid w:val="00A025AE"/>
    <w:rsid w:val="00A07602"/>
    <w:rsid w:val="00A10F28"/>
    <w:rsid w:val="00A2025E"/>
    <w:rsid w:val="00A321B4"/>
    <w:rsid w:val="00A34BBE"/>
    <w:rsid w:val="00A4679E"/>
    <w:rsid w:val="00A66B78"/>
    <w:rsid w:val="00A71BA2"/>
    <w:rsid w:val="00A747BB"/>
    <w:rsid w:val="00A76FFC"/>
    <w:rsid w:val="00A92040"/>
    <w:rsid w:val="00AA268E"/>
    <w:rsid w:val="00AA344E"/>
    <w:rsid w:val="00AB60D0"/>
    <w:rsid w:val="00AC1062"/>
    <w:rsid w:val="00AF33E7"/>
    <w:rsid w:val="00AF4996"/>
    <w:rsid w:val="00B05AA4"/>
    <w:rsid w:val="00B12B56"/>
    <w:rsid w:val="00B21AB0"/>
    <w:rsid w:val="00B32D81"/>
    <w:rsid w:val="00B45D18"/>
    <w:rsid w:val="00B60AAB"/>
    <w:rsid w:val="00B71D6F"/>
    <w:rsid w:val="00B83441"/>
    <w:rsid w:val="00B877C5"/>
    <w:rsid w:val="00B950BC"/>
    <w:rsid w:val="00BB3775"/>
    <w:rsid w:val="00BD1256"/>
    <w:rsid w:val="00BD50C1"/>
    <w:rsid w:val="00BD6B35"/>
    <w:rsid w:val="00BF0DFB"/>
    <w:rsid w:val="00BF64DF"/>
    <w:rsid w:val="00BF65B3"/>
    <w:rsid w:val="00BF7F91"/>
    <w:rsid w:val="00C06579"/>
    <w:rsid w:val="00C06E9A"/>
    <w:rsid w:val="00C430CF"/>
    <w:rsid w:val="00C44EAA"/>
    <w:rsid w:val="00C5502C"/>
    <w:rsid w:val="00C62DB3"/>
    <w:rsid w:val="00C67818"/>
    <w:rsid w:val="00C766C4"/>
    <w:rsid w:val="00C954A3"/>
    <w:rsid w:val="00CC442E"/>
    <w:rsid w:val="00CC7632"/>
    <w:rsid w:val="00CE1BF6"/>
    <w:rsid w:val="00CE3382"/>
    <w:rsid w:val="00CF0C28"/>
    <w:rsid w:val="00D12B66"/>
    <w:rsid w:val="00D31F28"/>
    <w:rsid w:val="00D410D4"/>
    <w:rsid w:val="00D51D38"/>
    <w:rsid w:val="00D66FDC"/>
    <w:rsid w:val="00D81996"/>
    <w:rsid w:val="00DA00B6"/>
    <w:rsid w:val="00DA2579"/>
    <w:rsid w:val="00DA43A3"/>
    <w:rsid w:val="00DA7C20"/>
    <w:rsid w:val="00DB2D86"/>
    <w:rsid w:val="00DB5FC0"/>
    <w:rsid w:val="00DE710C"/>
    <w:rsid w:val="00DF1A64"/>
    <w:rsid w:val="00DF54E8"/>
    <w:rsid w:val="00E0601F"/>
    <w:rsid w:val="00E10E1D"/>
    <w:rsid w:val="00E27AC6"/>
    <w:rsid w:val="00E3541C"/>
    <w:rsid w:val="00E37390"/>
    <w:rsid w:val="00E442EC"/>
    <w:rsid w:val="00E63C04"/>
    <w:rsid w:val="00E73AC0"/>
    <w:rsid w:val="00E826AF"/>
    <w:rsid w:val="00E93D93"/>
    <w:rsid w:val="00EB13B5"/>
    <w:rsid w:val="00EB5913"/>
    <w:rsid w:val="00EB6055"/>
    <w:rsid w:val="00EC7950"/>
    <w:rsid w:val="00ED2F96"/>
    <w:rsid w:val="00ED4381"/>
    <w:rsid w:val="00ED4E4C"/>
    <w:rsid w:val="00EF39B7"/>
    <w:rsid w:val="00F17BF2"/>
    <w:rsid w:val="00F3271F"/>
    <w:rsid w:val="00F44D0D"/>
    <w:rsid w:val="00F47932"/>
    <w:rsid w:val="00F502EA"/>
    <w:rsid w:val="00F56BAE"/>
    <w:rsid w:val="00F57F19"/>
    <w:rsid w:val="00F621DB"/>
    <w:rsid w:val="00F760BD"/>
    <w:rsid w:val="00FA12A0"/>
    <w:rsid w:val="00FB6F5D"/>
    <w:rsid w:val="00FC0A81"/>
    <w:rsid w:val="00FC539C"/>
    <w:rsid w:val="00FC7A46"/>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60.jpeg"/><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Allgemein_extern.dotx</Template>
  <TotalTime>0</TotalTime>
  <Pages>2</Pages>
  <Words>468</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18</cp:revision>
  <cp:lastPrinted>2012-10-17T12:32:00Z</cp:lastPrinted>
  <dcterms:created xsi:type="dcterms:W3CDTF">2012-10-29T13:08:00Z</dcterms:created>
  <dcterms:modified xsi:type="dcterms:W3CDTF">2012-11-07T10:25:00Z</dcterms:modified>
</cp:coreProperties>
</file>