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9" w:rsidRPr="007F3359" w:rsidRDefault="007F3359" w:rsidP="00EB5913">
      <w:pPr>
        <w:pStyle w:val="berschrift1"/>
        <w:ind w:left="180"/>
        <w:rPr>
          <w:sz w:val="24"/>
          <w:szCs w:val="24"/>
          <w:u w:val="single"/>
        </w:rPr>
      </w:pPr>
      <w:r w:rsidRPr="007F3359">
        <w:rPr>
          <w:sz w:val="24"/>
          <w:szCs w:val="24"/>
          <w:u w:val="single"/>
        </w:rPr>
        <w:t>Wassergekühlte Kegelflachgetriebemotoren von WATT und WEG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1F5421" w:rsidRDefault="007F3359" w:rsidP="00EB5913">
      <w:pPr>
        <w:ind w:left="180"/>
        <w:rPr>
          <w:b/>
          <w:sz w:val="20"/>
          <w:szCs w:val="20"/>
        </w:rPr>
      </w:pPr>
      <w:r w:rsidRPr="001F5421">
        <w:rPr>
          <w:b/>
          <w:sz w:val="20"/>
          <w:szCs w:val="20"/>
        </w:rPr>
        <w:t xml:space="preserve">In Stahlwerken installierte Antriebe müssen härtesten Umgebungsbedingungen trotzen. Die von WATT konzipierten wassergekühlten Antriebe wurden speziell für das anspruchsvolle Umfeld der Stahlindustrie entwickelt. In Kombination mit einem WEG </w:t>
      </w:r>
      <w:proofErr w:type="spellStart"/>
      <w:r w:rsidRPr="001F5421">
        <w:rPr>
          <w:b/>
          <w:sz w:val="20"/>
          <w:szCs w:val="20"/>
        </w:rPr>
        <w:t>Rollgangsmotor</w:t>
      </w:r>
      <w:proofErr w:type="spellEnd"/>
      <w:r w:rsidRPr="001F5421">
        <w:rPr>
          <w:b/>
          <w:sz w:val="20"/>
          <w:szCs w:val="20"/>
        </w:rPr>
        <w:t xml:space="preserve"> entsteht ein zuverlässiger und effizienter Antrieb.</w:t>
      </w:r>
    </w:p>
    <w:p w:rsidR="007F3359" w:rsidRPr="00EB13B5" w:rsidRDefault="007F3359" w:rsidP="00EB5913">
      <w:pPr>
        <w:ind w:left="180"/>
        <w:rPr>
          <w:sz w:val="20"/>
          <w:szCs w:val="20"/>
          <w:lang w:val="de-AT"/>
        </w:rPr>
      </w:pPr>
    </w:p>
    <w:p w:rsidR="007F3359" w:rsidRPr="007F3359" w:rsidRDefault="007F3359" w:rsidP="00EB5913">
      <w:pPr>
        <w:ind w:left="180"/>
        <w:rPr>
          <w:sz w:val="20"/>
          <w:szCs w:val="20"/>
        </w:rPr>
      </w:pPr>
      <w:r w:rsidRPr="007F3359">
        <w:rPr>
          <w:sz w:val="20"/>
          <w:szCs w:val="20"/>
        </w:rPr>
        <w:t>Die Stahlproduktion fordert auf Grund der hohen Investitionskosten solcher Anlagen extrem zuverlässige Produkte.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  <w:r w:rsidRPr="007F3359">
        <w:rPr>
          <w:sz w:val="20"/>
          <w:szCs w:val="20"/>
        </w:rPr>
        <w:t xml:space="preserve">Die Hauptaufgabe der </w:t>
      </w:r>
      <w:proofErr w:type="spellStart"/>
      <w:r w:rsidRPr="007F3359">
        <w:rPr>
          <w:sz w:val="20"/>
          <w:szCs w:val="20"/>
        </w:rPr>
        <w:t>Rollgangsantriebe</w:t>
      </w:r>
      <w:proofErr w:type="spellEnd"/>
      <w:r w:rsidRPr="007F3359">
        <w:rPr>
          <w:sz w:val="20"/>
          <w:szCs w:val="20"/>
        </w:rPr>
        <w:t xml:space="preserve"> besteht im Beschleunigen und Verzögern der auf der Anlage befindlichen Brammen. Aufgrund der hohen Umgebungstemperaturen in Kombination mit hohen Beschleunigungsmomenten wurden die Spezialgetriebe mit einem integriertem Wassermantel und einem </w:t>
      </w:r>
      <w:proofErr w:type="spellStart"/>
      <w:r w:rsidRPr="007F3359">
        <w:rPr>
          <w:sz w:val="20"/>
          <w:szCs w:val="20"/>
        </w:rPr>
        <w:t>Sphärogußgehäuse</w:t>
      </w:r>
      <w:proofErr w:type="spellEnd"/>
      <w:r w:rsidRPr="007F3359">
        <w:rPr>
          <w:sz w:val="20"/>
          <w:szCs w:val="20"/>
        </w:rPr>
        <w:t xml:space="preserve"> ausgeführt.</w:t>
      </w:r>
    </w:p>
    <w:p w:rsidR="008703FE" w:rsidRDefault="008703FE" w:rsidP="00EB5913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0DF1656E" wp14:editId="00CCDCFF">
            <wp:extent cx="4153408" cy="201989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_water-cooled_gearbox_7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2"/>
                    <a:stretch/>
                  </pic:blipFill>
                  <pic:spPr bwMode="auto">
                    <a:xfrm>
                      <a:off x="0" y="0"/>
                      <a:ext cx="4159930" cy="2023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0"/>
          <w:szCs w:val="20"/>
        </w:rPr>
        <w:br/>
        <w:t xml:space="preserve">Bild 1: WATT wassergekühltes Kegelflachgetriebe mit WEG </w:t>
      </w:r>
      <w:proofErr w:type="spellStart"/>
      <w:r>
        <w:rPr>
          <w:sz w:val="20"/>
          <w:szCs w:val="20"/>
        </w:rPr>
        <w:t>Rollgangsmotor</w:t>
      </w:r>
      <w:proofErr w:type="spellEnd"/>
    </w:p>
    <w:p w:rsidR="008703FE" w:rsidRDefault="008703FE" w:rsidP="00EB5913">
      <w:pPr>
        <w:ind w:left="180"/>
        <w:rPr>
          <w:sz w:val="20"/>
          <w:szCs w:val="20"/>
        </w:rPr>
      </w:pPr>
    </w:p>
    <w:p w:rsidR="008703FE" w:rsidRDefault="008703FE" w:rsidP="00EB5913">
      <w:pPr>
        <w:ind w:left="180"/>
        <w:rPr>
          <w:sz w:val="20"/>
          <w:szCs w:val="20"/>
        </w:rPr>
      </w:pPr>
    </w:p>
    <w:p w:rsidR="007F3359" w:rsidRPr="004E11D1" w:rsidRDefault="007F3359" w:rsidP="00EB5913">
      <w:pPr>
        <w:ind w:left="180"/>
        <w:rPr>
          <w:b/>
          <w:sz w:val="20"/>
          <w:szCs w:val="20"/>
        </w:rPr>
      </w:pPr>
      <w:r w:rsidRPr="004E11D1">
        <w:rPr>
          <w:b/>
          <w:sz w:val="20"/>
          <w:szCs w:val="20"/>
        </w:rPr>
        <w:t>Technische Besonderheiten der Getriebe: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4E11D1" w:rsidRDefault="00DE710C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proofErr w:type="spellStart"/>
      <w:r w:rsidRPr="004E11D1">
        <w:rPr>
          <w:sz w:val="20"/>
          <w:szCs w:val="20"/>
        </w:rPr>
        <w:t>G</w:t>
      </w:r>
      <w:r w:rsidR="007F3359" w:rsidRPr="004E11D1">
        <w:rPr>
          <w:sz w:val="20"/>
          <w:szCs w:val="20"/>
        </w:rPr>
        <w:t>etriebeghäuse</w:t>
      </w:r>
      <w:proofErr w:type="spellEnd"/>
      <w:r w:rsidR="007F3359" w:rsidRPr="004E11D1">
        <w:rPr>
          <w:sz w:val="20"/>
          <w:szCs w:val="20"/>
        </w:rPr>
        <w:t xml:space="preserve"> aus Sphäroguss EN-GJS-400-15</w:t>
      </w:r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>Integrierter Wassermantel</w:t>
      </w:r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 xml:space="preserve">Abdichtung mit </w:t>
      </w:r>
      <w:proofErr w:type="spellStart"/>
      <w:r w:rsidRPr="004E11D1">
        <w:rPr>
          <w:sz w:val="20"/>
          <w:szCs w:val="20"/>
        </w:rPr>
        <w:t>Viton</w:t>
      </w:r>
      <w:proofErr w:type="spellEnd"/>
      <w:r w:rsidRPr="004E11D1">
        <w:rPr>
          <w:sz w:val="20"/>
          <w:szCs w:val="20"/>
        </w:rPr>
        <w:t xml:space="preserve"> Dichtringen auf gehärteter Lauffläche sowie einer </w:t>
      </w:r>
      <w:proofErr w:type="spellStart"/>
      <w:r w:rsidRPr="004E11D1">
        <w:rPr>
          <w:sz w:val="20"/>
          <w:szCs w:val="20"/>
        </w:rPr>
        <w:t>Labyrinthdichtung</w:t>
      </w:r>
      <w:proofErr w:type="spellEnd"/>
      <w:r w:rsidRPr="004E11D1">
        <w:rPr>
          <w:sz w:val="20"/>
          <w:szCs w:val="20"/>
        </w:rPr>
        <w:t xml:space="preserve"> auf der </w:t>
      </w:r>
      <w:proofErr w:type="spellStart"/>
      <w:r w:rsidRPr="004E11D1">
        <w:rPr>
          <w:sz w:val="20"/>
          <w:szCs w:val="20"/>
        </w:rPr>
        <w:t>Abtriebsseite</w:t>
      </w:r>
      <w:proofErr w:type="spellEnd"/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>Wärmeschutzschild</w:t>
      </w:r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>Drehmomentabstützung direkt am Getriebegehäuse</w:t>
      </w:r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>Synthetisches Schmiermittel</w:t>
      </w:r>
    </w:p>
    <w:p w:rsidR="007F3359" w:rsidRPr="004E11D1" w:rsidRDefault="007F3359" w:rsidP="00EB591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4E11D1">
        <w:rPr>
          <w:sz w:val="20"/>
          <w:szCs w:val="20"/>
        </w:rPr>
        <w:t xml:space="preserve">WEG - </w:t>
      </w:r>
      <w:proofErr w:type="spellStart"/>
      <w:r w:rsidRPr="004E11D1">
        <w:rPr>
          <w:sz w:val="20"/>
          <w:szCs w:val="20"/>
        </w:rPr>
        <w:t>Rollgangsmotor</w:t>
      </w:r>
      <w:proofErr w:type="spellEnd"/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7F3359" w:rsidRDefault="007F3359" w:rsidP="00EB5913">
      <w:pPr>
        <w:ind w:left="180"/>
        <w:rPr>
          <w:sz w:val="20"/>
          <w:szCs w:val="20"/>
        </w:rPr>
      </w:pPr>
      <w:r w:rsidRPr="007F3359">
        <w:rPr>
          <w:sz w:val="20"/>
          <w:szCs w:val="20"/>
        </w:rPr>
        <w:t>Der Einsatz von qualitativ hochwertiger Antriebstechnik sorgt für niedrige Instandhaltungs- und Wartungskosten.</w:t>
      </w:r>
    </w:p>
    <w:p w:rsidR="007F3359" w:rsidRDefault="007F3359" w:rsidP="00EB5913">
      <w:pPr>
        <w:ind w:left="180"/>
        <w:rPr>
          <w:sz w:val="20"/>
          <w:szCs w:val="20"/>
        </w:rPr>
      </w:pPr>
    </w:p>
    <w:p w:rsidR="001F5421" w:rsidRPr="007F3359" w:rsidRDefault="001F5421" w:rsidP="00EB5913">
      <w:pPr>
        <w:ind w:left="180"/>
        <w:rPr>
          <w:sz w:val="20"/>
          <w:szCs w:val="20"/>
        </w:rPr>
      </w:pPr>
    </w:p>
    <w:p w:rsidR="007F3359" w:rsidRPr="004E11D1" w:rsidRDefault="007F3359" w:rsidP="00EB5913">
      <w:pPr>
        <w:ind w:left="180"/>
        <w:rPr>
          <w:b/>
          <w:sz w:val="20"/>
          <w:szCs w:val="20"/>
        </w:rPr>
      </w:pPr>
      <w:r w:rsidRPr="004E11D1">
        <w:rPr>
          <w:b/>
          <w:sz w:val="20"/>
          <w:szCs w:val="20"/>
        </w:rPr>
        <w:t>WATT-Stahlwerksgetriebe: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7F3359" w:rsidRDefault="007F3359" w:rsidP="00EB5913">
      <w:pPr>
        <w:ind w:left="180"/>
        <w:rPr>
          <w:sz w:val="20"/>
          <w:szCs w:val="20"/>
        </w:rPr>
      </w:pPr>
      <w:r w:rsidRPr="007F3359">
        <w:rPr>
          <w:sz w:val="20"/>
          <w:szCs w:val="20"/>
        </w:rPr>
        <w:t>Die Antriebe sind in den verschiedenen Varianten verfügbar: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7F3359" w:rsidRDefault="007F3359" w:rsidP="00EB5913">
      <w:pPr>
        <w:pStyle w:val="Listenabsatz"/>
        <w:numPr>
          <w:ilvl w:val="0"/>
          <w:numId w:val="2"/>
        </w:numPr>
        <w:ind w:left="851" w:hanging="284"/>
        <w:rPr>
          <w:sz w:val="20"/>
          <w:szCs w:val="20"/>
        </w:rPr>
      </w:pPr>
      <w:r w:rsidRPr="007F3359">
        <w:rPr>
          <w:sz w:val="20"/>
          <w:szCs w:val="20"/>
        </w:rPr>
        <w:t>Stirnrad-, Kegelrad- und Flachgetriebe</w:t>
      </w:r>
    </w:p>
    <w:p w:rsidR="007F3359" w:rsidRPr="007F3359" w:rsidRDefault="007F3359" w:rsidP="00EB5913">
      <w:pPr>
        <w:pStyle w:val="Listenabsatz"/>
        <w:numPr>
          <w:ilvl w:val="0"/>
          <w:numId w:val="2"/>
        </w:numPr>
        <w:ind w:left="851" w:hanging="284"/>
        <w:rPr>
          <w:sz w:val="20"/>
          <w:szCs w:val="20"/>
        </w:rPr>
      </w:pPr>
      <w:proofErr w:type="spellStart"/>
      <w:r w:rsidRPr="007F3359">
        <w:rPr>
          <w:sz w:val="20"/>
          <w:szCs w:val="20"/>
        </w:rPr>
        <w:t>Abtriebsdrehmoment</w:t>
      </w:r>
      <w:proofErr w:type="spellEnd"/>
      <w:r w:rsidRPr="007F3359">
        <w:rPr>
          <w:sz w:val="20"/>
          <w:szCs w:val="20"/>
        </w:rPr>
        <w:t xml:space="preserve"> von 1.250 bis  20.000Nm</w:t>
      </w:r>
    </w:p>
    <w:p w:rsidR="007F3359" w:rsidRPr="007F3359" w:rsidRDefault="007F3359" w:rsidP="00EB5913">
      <w:pPr>
        <w:pStyle w:val="Listenabsatz"/>
        <w:numPr>
          <w:ilvl w:val="0"/>
          <w:numId w:val="2"/>
        </w:numPr>
        <w:ind w:left="851" w:hanging="284"/>
        <w:rPr>
          <w:sz w:val="20"/>
          <w:szCs w:val="20"/>
        </w:rPr>
      </w:pPr>
      <w:r w:rsidRPr="007F3359">
        <w:rPr>
          <w:sz w:val="20"/>
          <w:szCs w:val="20"/>
        </w:rPr>
        <w:t>Drehzahlbereich und Getriebeunter-setzungen aus dem MAS®</w:t>
      </w:r>
      <w:r w:rsidR="001F5421">
        <w:rPr>
          <w:sz w:val="20"/>
          <w:szCs w:val="20"/>
        </w:rPr>
        <w:t xml:space="preserve"> - </w:t>
      </w:r>
      <w:r w:rsidRPr="007F3359">
        <w:rPr>
          <w:sz w:val="20"/>
          <w:szCs w:val="20"/>
        </w:rPr>
        <w:t>Getriebebaukasten</w:t>
      </w:r>
    </w:p>
    <w:p w:rsidR="007F3359" w:rsidRPr="007F3359" w:rsidRDefault="007F3359" w:rsidP="00EB5913">
      <w:pPr>
        <w:pStyle w:val="Listenabsatz"/>
        <w:numPr>
          <w:ilvl w:val="0"/>
          <w:numId w:val="2"/>
        </w:numPr>
        <w:ind w:left="851" w:hanging="284"/>
        <w:rPr>
          <w:sz w:val="20"/>
          <w:szCs w:val="20"/>
        </w:rPr>
      </w:pPr>
      <w:r w:rsidRPr="007F3359">
        <w:rPr>
          <w:sz w:val="20"/>
          <w:szCs w:val="20"/>
        </w:rPr>
        <w:t>Im Zuge der Antriebsauswahl wird in Zusammenarbeit mit dem Kunden, entsprechend den thermischen Umgebungseinflüssen, der passende Getriebemotor bestimmt</w:t>
      </w:r>
      <w:r w:rsidR="001F5421">
        <w:rPr>
          <w:sz w:val="20"/>
          <w:szCs w:val="20"/>
        </w:rPr>
        <w:t>.</w:t>
      </w:r>
    </w:p>
    <w:p w:rsidR="001F5421" w:rsidRDefault="001F5421" w:rsidP="00EB5913">
      <w:pPr>
        <w:ind w:left="180"/>
        <w:rPr>
          <w:b/>
          <w:sz w:val="20"/>
          <w:szCs w:val="20"/>
        </w:rPr>
      </w:pPr>
    </w:p>
    <w:p w:rsidR="001F5421" w:rsidRDefault="001F5421" w:rsidP="00EB5913">
      <w:pPr>
        <w:ind w:left="180"/>
        <w:rPr>
          <w:b/>
          <w:sz w:val="20"/>
          <w:szCs w:val="20"/>
        </w:rPr>
      </w:pPr>
    </w:p>
    <w:p w:rsidR="007F3359" w:rsidRPr="004E11D1" w:rsidRDefault="007F3359" w:rsidP="00EB5913">
      <w:pPr>
        <w:ind w:left="180"/>
        <w:rPr>
          <w:b/>
          <w:sz w:val="20"/>
          <w:szCs w:val="20"/>
        </w:rPr>
      </w:pPr>
      <w:r w:rsidRPr="004E11D1">
        <w:rPr>
          <w:b/>
          <w:sz w:val="20"/>
          <w:szCs w:val="20"/>
        </w:rPr>
        <w:lastRenderedPageBreak/>
        <w:t>Getriebedaten: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DE710C" w:rsidRDefault="007F3359" w:rsidP="00EB5913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DE710C">
        <w:rPr>
          <w:sz w:val="20"/>
          <w:szCs w:val="20"/>
        </w:rPr>
        <w:t>Typ: CWA 81A (GJS) IAK160</w:t>
      </w:r>
    </w:p>
    <w:p w:rsidR="007F3359" w:rsidRPr="00DE710C" w:rsidRDefault="007F3359" w:rsidP="00EB5913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DE710C">
        <w:rPr>
          <w:sz w:val="20"/>
          <w:szCs w:val="20"/>
        </w:rPr>
        <w:t>Motorleistung: 4kW (500V, 50Hz)</w:t>
      </w:r>
    </w:p>
    <w:p w:rsidR="007F3359" w:rsidRPr="00DE710C" w:rsidRDefault="007F3359" w:rsidP="00EB5913">
      <w:pPr>
        <w:pStyle w:val="Listenabsatz"/>
        <w:numPr>
          <w:ilvl w:val="0"/>
          <w:numId w:val="3"/>
        </w:numPr>
        <w:rPr>
          <w:sz w:val="20"/>
          <w:szCs w:val="20"/>
        </w:rPr>
      </w:pPr>
      <w:proofErr w:type="spellStart"/>
      <w:r w:rsidRPr="00DE710C">
        <w:rPr>
          <w:sz w:val="20"/>
          <w:szCs w:val="20"/>
        </w:rPr>
        <w:t>Abtriebsdrehzahl</w:t>
      </w:r>
      <w:proofErr w:type="spellEnd"/>
      <w:r w:rsidRPr="00DE710C">
        <w:rPr>
          <w:sz w:val="20"/>
          <w:szCs w:val="20"/>
        </w:rPr>
        <w:t>: 30U/min</w:t>
      </w:r>
    </w:p>
    <w:p w:rsidR="007F3359" w:rsidRPr="00DE710C" w:rsidRDefault="007F3359" w:rsidP="00EB5913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DE710C">
        <w:rPr>
          <w:sz w:val="20"/>
          <w:szCs w:val="20"/>
        </w:rPr>
        <w:t>Getriebenennmoment: 2.700Nm</w:t>
      </w:r>
    </w:p>
    <w:p w:rsidR="007F3359" w:rsidRDefault="007F3359" w:rsidP="00EB5913">
      <w:pPr>
        <w:ind w:left="180"/>
        <w:rPr>
          <w:sz w:val="20"/>
          <w:szCs w:val="20"/>
        </w:rPr>
      </w:pPr>
    </w:p>
    <w:p w:rsidR="001F5421" w:rsidRPr="007F3359" w:rsidRDefault="001F5421" w:rsidP="00EB5913">
      <w:pPr>
        <w:ind w:left="180"/>
        <w:rPr>
          <w:sz w:val="20"/>
          <w:szCs w:val="20"/>
        </w:rPr>
      </w:pPr>
    </w:p>
    <w:p w:rsidR="007F3359" w:rsidRPr="004E11D1" w:rsidRDefault="007F3359" w:rsidP="00EB5913">
      <w:pPr>
        <w:ind w:left="180"/>
        <w:rPr>
          <w:b/>
          <w:sz w:val="20"/>
          <w:szCs w:val="20"/>
        </w:rPr>
      </w:pPr>
      <w:r w:rsidRPr="004E11D1">
        <w:rPr>
          <w:b/>
          <w:sz w:val="20"/>
          <w:szCs w:val="20"/>
        </w:rPr>
        <w:t>WEG-Spezialmotoren: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7F3359" w:rsidRPr="007F3359" w:rsidRDefault="007F3359" w:rsidP="00EB5913">
      <w:pPr>
        <w:ind w:left="180"/>
        <w:rPr>
          <w:sz w:val="20"/>
          <w:szCs w:val="20"/>
        </w:rPr>
      </w:pPr>
      <w:r w:rsidRPr="007F3359">
        <w:rPr>
          <w:sz w:val="20"/>
          <w:szCs w:val="20"/>
        </w:rPr>
        <w:t>Durch das umfangreiche weltweit verfügbare Motorenprogramm von WEG können projektbezogen eine Vielzahl von mechanischen und elektrischen Optionen geliefert werden.</w:t>
      </w:r>
    </w:p>
    <w:p w:rsidR="00DA2579" w:rsidRPr="007F3359" w:rsidRDefault="007F3359" w:rsidP="00EB5913">
      <w:pPr>
        <w:ind w:left="180"/>
        <w:rPr>
          <w:rFonts w:cs="Arial"/>
          <w:sz w:val="20"/>
          <w:szCs w:val="20"/>
          <w:lang w:val="de-AT"/>
        </w:rPr>
      </w:pPr>
      <w:r w:rsidRPr="007F3359">
        <w:rPr>
          <w:sz w:val="20"/>
          <w:szCs w:val="20"/>
        </w:rPr>
        <w:t xml:space="preserve">Die Motoren können als Ringrippenmotoren aus Sphäroguss sowie als </w:t>
      </w:r>
      <w:proofErr w:type="spellStart"/>
      <w:r w:rsidRPr="007F3359">
        <w:rPr>
          <w:sz w:val="20"/>
          <w:szCs w:val="20"/>
        </w:rPr>
        <w:t>unbelüftete</w:t>
      </w:r>
      <w:proofErr w:type="spellEnd"/>
      <w:r w:rsidRPr="007F3359">
        <w:rPr>
          <w:sz w:val="20"/>
          <w:szCs w:val="20"/>
        </w:rPr>
        <w:t xml:space="preserve"> Graugussmotoren entweder mittels Motoradapter oder mit der Wirkungsgrad erhöhenden Direktanbauweise aufgebaut werden.</w:t>
      </w:r>
    </w:p>
    <w:p w:rsidR="00872EF8" w:rsidRDefault="00872EF8" w:rsidP="00EB5913">
      <w:pPr>
        <w:ind w:left="180"/>
        <w:rPr>
          <w:rFonts w:cs="Arial"/>
          <w:sz w:val="20"/>
          <w:szCs w:val="20"/>
        </w:rPr>
      </w:pPr>
    </w:p>
    <w:p w:rsidR="00872EF8" w:rsidRDefault="00872EF8" w:rsidP="00EB5913">
      <w:pPr>
        <w:ind w:left="180"/>
        <w:rPr>
          <w:rFonts w:cs="Arial"/>
          <w:sz w:val="20"/>
          <w:szCs w:val="20"/>
        </w:rPr>
      </w:pPr>
    </w:p>
    <w:p w:rsidR="00872EF8" w:rsidRDefault="00872EF8" w:rsidP="00EB5913">
      <w:pPr>
        <w:ind w:left="180"/>
        <w:rPr>
          <w:rFonts w:cs="Arial"/>
          <w:sz w:val="20"/>
          <w:szCs w:val="20"/>
        </w:rPr>
      </w:pPr>
    </w:p>
    <w:p w:rsidR="00872EF8" w:rsidRDefault="008703FE" w:rsidP="00EB5913">
      <w:pPr>
        <w:ind w:left="18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 wp14:anchorId="4E46C04F" wp14:editId="0B4C6DD8">
            <wp:extent cx="2579298" cy="205874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_roller_table_motor_7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537" cy="20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F8" w:rsidRDefault="001F5421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br/>
      </w:r>
      <w:r w:rsidR="008703FE">
        <w:rPr>
          <w:sz w:val="20"/>
          <w:szCs w:val="20"/>
        </w:rPr>
        <w:t xml:space="preserve">Bild 2: WEG </w:t>
      </w:r>
      <w:proofErr w:type="spellStart"/>
      <w:r w:rsidR="008703FE">
        <w:rPr>
          <w:sz w:val="20"/>
          <w:szCs w:val="20"/>
        </w:rPr>
        <w:t>Rollgangsmotor</w:t>
      </w:r>
      <w:proofErr w:type="spellEnd"/>
    </w:p>
    <w:p w:rsidR="008703FE" w:rsidRDefault="008703FE" w:rsidP="00EB5913">
      <w:pPr>
        <w:ind w:left="180"/>
        <w:rPr>
          <w:sz w:val="20"/>
          <w:szCs w:val="20"/>
        </w:rPr>
      </w:pPr>
    </w:p>
    <w:p w:rsidR="001F5421" w:rsidRDefault="001F5421" w:rsidP="00EB5913">
      <w:pPr>
        <w:ind w:left="180"/>
        <w:rPr>
          <w:sz w:val="20"/>
          <w:szCs w:val="20"/>
        </w:rPr>
      </w:pPr>
    </w:p>
    <w:p w:rsidR="008703FE" w:rsidRPr="008703FE" w:rsidRDefault="008703FE" w:rsidP="00EB5913">
      <w:pPr>
        <w:ind w:left="180"/>
        <w:rPr>
          <w:rFonts w:cs="Arial"/>
          <w:sz w:val="20"/>
          <w:szCs w:val="20"/>
        </w:rPr>
      </w:pPr>
      <w:r w:rsidRPr="008703FE">
        <w:rPr>
          <w:rFonts w:cs="Arial"/>
          <w:sz w:val="20"/>
          <w:szCs w:val="20"/>
        </w:rPr>
        <w:t>Weitere Informationen über die WEG-</w:t>
      </w:r>
      <w:proofErr w:type="spellStart"/>
      <w:r w:rsidRPr="008703FE">
        <w:rPr>
          <w:rFonts w:cs="Arial"/>
          <w:sz w:val="20"/>
          <w:szCs w:val="20"/>
        </w:rPr>
        <w:t>Rollgangsmotoren</w:t>
      </w:r>
      <w:proofErr w:type="spellEnd"/>
      <w:r w:rsidRPr="008703FE">
        <w:rPr>
          <w:rFonts w:cs="Arial"/>
          <w:sz w:val="20"/>
          <w:szCs w:val="20"/>
        </w:rPr>
        <w:t xml:space="preserve"> finden Sie unter dem folgenden Link:</w:t>
      </w:r>
    </w:p>
    <w:p w:rsidR="008703FE" w:rsidRDefault="0050479E" w:rsidP="00EB5913">
      <w:pPr>
        <w:ind w:left="180"/>
        <w:rPr>
          <w:rFonts w:cs="Arial"/>
          <w:sz w:val="20"/>
          <w:szCs w:val="20"/>
        </w:rPr>
      </w:pPr>
      <w:hyperlink r:id="rId11" w:history="1">
        <w:r w:rsidR="008703FE" w:rsidRPr="00FA64E5">
          <w:rPr>
            <w:rStyle w:val="Hyperlink"/>
            <w:rFonts w:cs="Arial"/>
            <w:sz w:val="20"/>
            <w:szCs w:val="20"/>
          </w:rPr>
          <w:t>http://www.weg.net/at/Produkte-Services/Electric-Motors/IEC-General-Purpose/Roller-Table</w:t>
        </w:r>
      </w:hyperlink>
    </w:p>
    <w:sectPr w:rsidR="008703FE" w:rsidSect="007C15DD">
      <w:headerReference w:type="default" r:id="rId12"/>
      <w:footerReference w:type="default" r:id="rId13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9E" w:rsidRDefault="0050479E" w:rsidP="00DA2579">
      <w:r>
        <w:separator/>
      </w:r>
    </w:p>
  </w:endnote>
  <w:endnote w:type="continuationSeparator" w:id="0">
    <w:p w:rsidR="0050479E" w:rsidRDefault="0050479E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79" w:rsidRPr="00DA2579" w:rsidRDefault="00DA2579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DA2579" w:rsidRPr="00DA2579" w:rsidRDefault="00DA2579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9E" w:rsidRDefault="0050479E" w:rsidP="00DA2579">
      <w:r>
        <w:separator/>
      </w:r>
    </w:p>
  </w:footnote>
  <w:footnote w:type="continuationSeparator" w:id="0">
    <w:p w:rsidR="0050479E" w:rsidRDefault="0050479E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F" w:rsidRPr="0077611F" w:rsidRDefault="0077611F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77611F" w:rsidRPr="00DB2D86" w:rsidRDefault="008703FE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</w:t>
    </w:r>
    <w:r w:rsidR="00EB13B5">
      <w:rPr>
        <w:rFonts w:cs="Arial"/>
        <w:color w:val="808080"/>
        <w:sz w:val="48"/>
        <w:szCs w:val="48"/>
        <w:lang w:val="en-GB"/>
      </w:rPr>
      <w:t>5</w:t>
    </w:r>
    <w:r w:rsidR="0094572E">
      <w:rPr>
        <w:rFonts w:cs="Arial"/>
        <w:color w:val="808080"/>
        <w:sz w:val="48"/>
        <w:szCs w:val="48"/>
        <w:lang w:val="en-GB"/>
      </w:rPr>
      <w:t>.</w:t>
    </w:r>
    <w:r>
      <w:rPr>
        <w:rFonts w:cs="Arial"/>
        <w:color w:val="808080"/>
        <w:sz w:val="48"/>
        <w:szCs w:val="48"/>
        <w:lang w:val="en-GB"/>
      </w:rPr>
      <w:t>2012</w:t>
    </w:r>
    <w:r w:rsidR="0077611F"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35D5A4CE" wp14:editId="60204D33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30000" cy="594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att_weg_wo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611F" w:rsidRPr="00DB2D86" w:rsidRDefault="00EB13B5" w:rsidP="0077611F">
    <w:pPr>
      <w:rPr>
        <w:lang w:val="en-GB"/>
      </w:rPr>
    </w:pPr>
    <w:r>
      <w:rPr>
        <w:rFonts w:cs="Arial"/>
        <w:color w:val="000000"/>
        <w:lang w:val="en-GB"/>
      </w:rPr>
      <w:t xml:space="preserve">30. </w:t>
    </w:r>
    <w:r w:rsidR="00893908">
      <w:rPr>
        <w:rFonts w:cs="Arial"/>
        <w:color w:val="000000"/>
        <w:lang w:val="en-GB"/>
      </w:rPr>
      <w:t>Mai</w:t>
    </w:r>
    <w:r w:rsidR="0077611F" w:rsidRPr="00DB2D86">
      <w:rPr>
        <w:rFonts w:cs="Arial"/>
        <w:color w:val="000000"/>
        <w:lang w:val="en-GB"/>
      </w:rPr>
      <w:t xml:space="preserve"> 2012</w:t>
    </w:r>
  </w:p>
  <w:p w:rsidR="0077611F" w:rsidRDefault="00C06E9A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863243" wp14:editId="3742E246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F83" w:rsidRDefault="009E7F83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72DF881" wp14:editId="29A33266">
                                <wp:extent cx="543600" cy="1846800"/>
                                <wp:effectExtent l="0" t="0" r="8890" b="1270"/>
                                <wp:docPr id="6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G_gridelements_stationary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00" cy="18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7F83" w:rsidRDefault="009E7F83" w:rsidP="009E7F83"/>
                        <w:p w:rsidR="009E7F83" w:rsidRDefault="009E7F83" w:rsidP="009E7F83"/>
                        <w:p w:rsidR="009E7F83" w:rsidRDefault="009E7F83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9E7F83" w:rsidRDefault="009E7F83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72DF881" wp14:editId="29A33266">
                          <wp:extent cx="543600" cy="1846800"/>
                          <wp:effectExtent l="0" t="0" r="8890" b="1270"/>
                          <wp:docPr id="6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G_gridelements_stationary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00" cy="184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E7F83" w:rsidRDefault="009E7F83" w:rsidP="009E7F83"/>
                  <w:p w:rsidR="009E7F83" w:rsidRDefault="009E7F83" w:rsidP="009E7F83"/>
                  <w:p w:rsidR="009E7F83" w:rsidRDefault="009E7F83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4.1pt;height:4.1pt" o:bullet="t">
        <v:imagedata r:id="rId1" o:title="aufzaehlung_symbol"/>
      </v:shape>
    </w:pict>
  </w:numPicBullet>
  <w:numPicBullet w:numPicBulletId="1">
    <w:pict>
      <v:shape id="_x0000_i1142" type="#_x0000_t75" style="width:4.1pt;height:4.1pt" o:bullet="t">
        <v:imagedata r:id="rId2" o:title="aufzaehlung_symbol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10335"/>
    <w:rsid w:val="001F5421"/>
    <w:rsid w:val="0025447B"/>
    <w:rsid w:val="00323735"/>
    <w:rsid w:val="003E65C3"/>
    <w:rsid w:val="00477B1D"/>
    <w:rsid w:val="004E11D1"/>
    <w:rsid w:val="0050479E"/>
    <w:rsid w:val="007014D9"/>
    <w:rsid w:val="0077611F"/>
    <w:rsid w:val="007C15DD"/>
    <w:rsid w:val="007F3359"/>
    <w:rsid w:val="008703FE"/>
    <w:rsid w:val="00872EF8"/>
    <w:rsid w:val="00893908"/>
    <w:rsid w:val="0094572E"/>
    <w:rsid w:val="009E7F83"/>
    <w:rsid w:val="00AA268E"/>
    <w:rsid w:val="00B60AAB"/>
    <w:rsid w:val="00C06E9A"/>
    <w:rsid w:val="00CF0C28"/>
    <w:rsid w:val="00DA2579"/>
    <w:rsid w:val="00DE710C"/>
    <w:rsid w:val="00EB13B5"/>
    <w:rsid w:val="00EB5913"/>
    <w:rsid w:val="00ED4E4C"/>
    <w:rsid w:val="00F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.net/at/Produkte-Services/Electric-Motors/IEC-General-Purpose/Roller-Tab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AE1D-ABF7-4BA2-9509-A526E9E5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Ponweiser Jürgen</dc:creator>
  <cp:lastModifiedBy>Ponweiser Jürgen</cp:lastModifiedBy>
  <cp:revision>4</cp:revision>
  <dcterms:created xsi:type="dcterms:W3CDTF">2012-05-29T16:46:00Z</dcterms:created>
  <dcterms:modified xsi:type="dcterms:W3CDTF">2012-05-29T17:05:00Z</dcterms:modified>
</cp:coreProperties>
</file>